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eastAsia="Times New Roman" w:cs="Times New Roman"/>
          <w:color w:val="000000"/>
          <w:sz w:val="27"/>
          <w:szCs w:val="27"/>
        </w:rPr>
      </w:pPr>
      <w:r>
        <w:rPr>
          <w:rFonts w:eastAsia="Times New Roman" w:cs="Times New Roman" w:ascii="arial" w:hAnsi="arial"/>
          <w:color w:val="000000"/>
          <w:sz w:val="27"/>
          <w:szCs w:val="27"/>
        </w:rPr>
        <mc:AlternateContent>
          <mc:Choice Requires="wps">
            <w:drawing>
              <wp:anchor distT="0" distB="0" distL="0" distR="0" simplePos="0" relativeHeight="4" behindDoc="0" locked="0" layoutInCell="1" allowOverlap="1">
                <wp:simplePos x="0" y="0"/>
                <wp:positionH relativeFrom="column">
                  <wp:posOffset>-561340</wp:posOffset>
                </wp:positionH>
                <wp:positionV relativeFrom="paragraph">
                  <wp:posOffset>133350</wp:posOffset>
                </wp:positionV>
                <wp:extent cx="847725" cy="923925"/>
                <wp:effectExtent l="0" t="0" r="0" b="0"/>
                <wp:wrapNone/>
                <wp:docPr id="1" name="Rectangle 3"/>
                <a:graphic xmlns:a="http://schemas.openxmlformats.org/drawingml/2006/main">
                  <a:graphicData uri="http://schemas.microsoft.com/office/word/2010/wordprocessingShape">
                    <wps:wsp>
                      <wps:cNvSpPr/>
                      <wps:spPr>
                        <a:xfrm>
                          <a:off x="0" y="0"/>
                          <a:ext cx="847800" cy="923760"/>
                        </a:xfrm>
                        <a:prstGeom prst="rect">
                          <a:avLst/>
                        </a:prstGeom>
                        <a:solidFill>
                          <a:srgbClr val="FFFFFF"/>
                        </a:solidFill>
                        <a:ln w="0">
                          <a:noFill/>
                        </a:ln>
                      </wps:spPr>
                      <wps:style>
                        <a:lnRef idx="0"/>
                        <a:fillRef idx="0"/>
                        <a:effectRef idx="0"/>
                        <a:fontRef idx="minor"/>
                      </wps:style>
                      <wps:txbx>
                        <w:txbxContent>
                          <w:p>
                            <w:pPr>
                              <w:pStyle w:val="FrameContents"/>
                              <w:spacing w:before="0" w:after="200"/>
                              <w:rPr>
                                <w:color w:val="000000"/>
                              </w:rPr>
                            </w:pPr>
                            <w:r>
                              <w:rPr>
                                <w:color w:val="000000"/>
                              </w:rPr>
                            </w:r>
                          </w:p>
                        </w:txbxContent>
                      </wps:txbx>
                      <wps:bodyPr anchor="t" upright="1">
                        <a:noAutofit/>
                      </wps:bodyPr>
                    </wps:wsp>
                  </a:graphicData>
                </a:graphic>
              </wp:anchor>
            </w:drawing>
          </mc:Choice>
          <mc:Fallback>
            <w:pict>
              <v:rect id="shape_0" fillcolor="white" stroked="f" o:allowincell="f" style="position:absolute;margin-left:-44.2pt;margin-top:10.5pt;width:66.7pt;height:72.7pt;mso-wrap-style:none;v-text-anchor:middle">
                <v:fill o:detectmouseclick="t" type="solid" color2="black"/>
                <v:stroke color="#3465a4" joinstyle="round" endcap="flat"/>
                <v:textbox>
                  <w:txbxContent>
                    <w:p>
                      <w:pPr>
                        <w:pStyle w:val="FrameContents"/>
                        <w:spacing w:before="0" w:after="200"/>
                        <w:rPr>
                          <w:color w:val="000000"/>
                        </w:rPr>
                      </w:pPr>
                      <w:r>
                        <w:rPr>
                          <w:color w:val="000000"/>
                        </w:rPr>
                      </w:r>
                    </w:p>
                  </w:txbxContent>
                </v:textbox>
                <w10:wrap type="none"/>
              </v:rect>
            </w:pict>
          </mc:Fallback>
        </mc:AlternateContent>
      </w:r>
    </w:p>
    <w:p>
      <w:pPr>
        <w:pStyle w:val="Normal"/>
        <w:spacing w:lineRule="auto" w:line="240" w:before="0" w:after="0"/>
        <w:jc w:val="center"/>
        <w:rPr>
          <w:rFonts w:ascii="arial" w:hAnsi="arial" w:eastAsia="Times New Roman" w:cs="Times New Roman"/>
          <w:b/>
          <w:color w:val="000000"/>
          <w:sz w:val="40"/>
          <w:szCs w:val="44"/>
        </w:rPr>
      </w:pPr>
      <w:r>
        <w:rPr>
          <w:rFonts w:eastAsia="Times New Roman" w:cs="Times New Roman" w:ascii="arial" w:hAnsi="arial"/>
          <w:b/>
          <w:color w:val="000000"/>
          <w:sz w:val="40"/>
          <w:szCs w:val="44"/>
        </w:rPr>
      </w:r>
    </w:p>
    <w:p>
      <w:pPr>
        <w:pStyle w:val="Normal"/>
        <w:spacing w:lineRule="auto" w:line="240" w:before="0" w:after="0"/>
        <w:jc w:val="center"/>
        <w:rPr>
          <w:rFonts w:ascii="arial" w:hAnsi="arial"/>
        </w:rPr>
      </w:pPr>
      <w:r>
        <w:rPr>
          <w:rFonts w:eastAsia="Times New Roman" w:cs="Times New Roman" w:ascii="arial" w:hAnsi="arial"/>
          <w:b/>
          <w:color w:val="000000"/>
          <w:sz w:val="46"/>
          <w:szCs w:val="44"/>
        </w:rPr>
        <w:t>NIGER DELTA UNIVERSITY</w:t>
      </w:r>
    </w:p>
    <w:p>
      <w:pPr>
        <w:pStyle w:val="Normal"/>
        <w:spacing w:lineRule="auto" w:line="240" w:before="0" w:after="0"/>
        <w:jc w:val="center"/>
        <w:rPr>
          <w:rFonts w:ascii="arial" w:hAnsi="arial"/>
        </w:rPr>
      </w:pPr>
      <w:r>
        <w:rPr>
          <w:rFonts w:eastAsia="Times New Roman" w:cs="Times New Roman" w:ascii="arial" w:hAnsi="arial"/>
          <w:b/>
          <w:i/>
          <w:color w:val="000000"/>
          <w:sz w:val="39"/>
        </w:rPr>
        <w:t>Wilberforce Island, Bayelsa State</w:t>
      </w:r>
    </w:p>
    <w:p>
      <w:pPr>
        <w:pStyle w:val="Normal"/>
        <w:spacing w:lineRule="auto" w:line="240" w:before="0" w:after="0"/>
        <w:jc w:val="center"/>
        <w:rPr>
          <w:rFonts w:ascii="arial" w:hAnsi="arial" w:eastAsia="Times New Roman" w:cs="Times New Roman"/>
          <w:b/>
          <w:i/>
          <w:color w:val="000000"/>
          <w:sz w:val="33"/>
        </w:rPr>
      </w:pPr>
      <w:r>
        <w:rPr>
          <w:rFonts w:eastAsia="Times New Roman" w:cs="Times New Roman" w:ascii="arial" w:hAnsi="arial"/>
          <w:b/>
          <w:i/>
          <w:color w:val="000000"/>
          <w:sz w:val="33"/>
        </w:rPr>
      </w:r>
    </w:p>
    <w:p>
      <w:pPr>
        <w:pStyle w:val="Normal"/>
        <w:spacing w:lineRule="auto" w:line="240" w:before="0" w:after="0"/>
        <w:jc w:val="center"/>
        <w:rPr>
          <w:rFonts w:ascii="arial" w:hAnsi="arial" w:eastAsia="Times New Roman" w:cs="Times New Roman"/>
          <w:b/>
          <w:i/>
          <w:color w:val="000000"/>
          <w:sz w:val="33"/>
        </w:rPr>
      </w:pPr>
      <w:r>
        <w:rPr>
          <w:rFonts w:eastAsia="Times New Roman" w:cs="Times New Roman" w:ascii="arial" w:hAnsi="arial"/>
          <w:b/>
          <w:i/>
          <w:color w:val="000000"/>
          <w:sz w:val="33"/>
        </w:rPr>
      </w:r>
    </w:p>
    <w:p>
      <w:pPr>
        <w:pStyle w:val="Normal"/>
        <w:spacing w:lineRule="auto" w:line="240" w:before="0" w:after="0"/>
        <w:jc w:val="center"/>
        <w:rPr>
          <w:rFonts w:ascii="arial" w:hAnsi="arial"/>
        </w:rPr>
      </w:pPr>
      <w:r>
        <w:rPr/>
        <w:drawing>
          <wp:inline distT="0" distB="0" distL="0" distR="0">
            <wp:extent cx="2344420" cy="18351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
                    <a:stretch>
                      <a:fillRect/>
                    </a:stretch>
                  </pic:blipFill>
                  <pic:spPr bwMode="auto">
                    <a:xfrm>
                      <a:off x="0" y="0"/>
                      <a:ext cx="2344420" cy="1835150"/>
                    </a:xfrm>
                    <a:prstGeom prst="rect">
                      <a:avLst/>
                    </a:prstGeom>
                    <a:noFill/>
                  </pic:spPr>
                </pic:pic>
              </a:graphicData>
            </a:graphic>
          </wp:inline>
        </w:drawing>
      </w:r>
    </w:p>
    <w:p>
      <w:pPr>
        <w:pStyle w:val="Normal"/>
        <w:spacing w:lineRule="auto" w:line="240" w:before="0" w:after="0"/>
        <w:jc w:val="center"/>
        <w:rPr>
          <w:rFonts w:ascii="arial" w:hAnsi="arial" w:eastAsia="Times New Roman" w:cs="Times New Roman"/>
          <w:b/>
          <w:i/>
          <w:color w:val="000000"/>
          <w:sz w:val="33"/>
        </w:rPr>
      </w:pPr>
      <w:r>
        <w:rPr>
          <w:rFonts w:eastAsia="Times New Roman" w:cs="Times New Roman" w:ascii="arial" w:hAnsi="arial"/>
          <w:b/>
          <w:i/>
          <w:color w:val="000000"/>
          <w:sz w:val="33"/>
        </w:rPr>
      </w:r>
    </w:p>
    <w:p>
      <w:pPr>
        <w:pStyle w:val="Normal"/>
        <w:spacing w:lineRule="auto" w:line="240" w:before="0" w:after="0"/>
        <w:ind w:firstLine="720" w:left="720"/>
        <w:jc w:val="center"/>
        <w:rPr>
          <w:rFonts w:ascii="arial" w:hAnsi="arial" w:eastAsia="Times New Roman" w:cs="Times New Roman"/>
          <w:b/>
          <w:color w:val="000000"/>
          <w:sz w:val="44"/>
          <w:szCs w:val="44"/>
        </w:rPr>
      </w:pPr>
      <w:r>
        <w:rPr>
          <w:rFonts w:eastAsia="Times New Roman" w:cs="Times New Roman" w:ascii="arial" w:hAnsi="arial"/>
          <w:b/>
          <w:color w:val="000000"/>
          <w:sz w:val="44"/>
          <w:szCs w:val="44"/>
        </w:rPr>
      </w:r>
    </w:p>
    <w:p>
      <w:pPr>
        <w:pStyle w:val="Normal"/>
        <w:spacing w:lineRule="auto" w:line="240" w:before="0" w:after="0"/>
        <w:rPr>
          <w:rFonts w:ascii="arial" w:hAnsi="arial" w:eastAsia="Times New Roman" w:cs="Times New Roman"/>
          <w:b/>
          <w:color w:val="000000"/>
          <w:sz w:val="44"/>
          <w:szCs w:val="44"/>
        </w:rPr>
      </w:pPr>
      <w:r>
        <w:rPr>
          <w:rFonts w:eastAsia="Times New Roman" w:cs="Times New Roman" w:ascii="arial" w:hAnsi="arial"/>
          <w:b/>
          <w:color w:val="000000"/>
          <w:sz w:val="44"/>
          <w:szCs w:val="44"/>
        </w:rPr>
      </w:r>
    </w:p>
    <w:p>
      <w:pPr>
        <w:pStyle w:val="Normal"/>
        <w:spacing w:lineRule="auto" w:line="240" w:before="0" w:after="0"/>
        <w:ind w:hanging="0" w:left="720"/>
        <w:jc w:val="center"/>
        <w:rPr>
          <w:rFonts w:ascii="arial" w:hAnsi="arial"/>
        </w:rPr>
      </w:pPr>
      <w:r>
        <w:rPr>
          <w:rFonts w:eastAsia="Times New Roman" w:cs="Times New Roman" w:ascii="arial" w:hAnsi="arial"/>
          <w:b/>
          <w:color w:val="000000"/>
          <w:sz w:val="40"/>
          <w:szCs w:val="44"/>
        </w:rPr>
        <w:t>DEPARTMENT OF PHILOSOPHY</w:t>
      </w:r>
    </w:p>
    <w:p>
      <w:pPr>
        <w:pStyle w:val="Normal"/>
        <w:spacing w:lineRule="auto" w:line="240" w:before="0" w:after="0"/>
        <w:ind w:firstLine="720" w:left="720"/>
        <w:jc w:val="center"/>
        <w:rPr>
          <w:rFonts w:ascii="arial" w:hAnsi="arial" w:eastAsia="Times New Roman" w:cs="Times New Roman"/>
          <w:b/>
          <w:color w:val="000000"/>
          <w:sz w:val="40"/>
          <w:szCs w:val="44"/>
        </w:rPr>
      </w:pPr>
      <w:r>
        <w:rPr>
          <w:rFonts w:eastAsia="Times New Roman" w:cs="Times New Roman" w:ascii="arial" w:hAnsi="arial"/>
          <w:b/>
          <w:color w:val="000000"/>
          <w:sz w:val="40"/>
          <w:szCs w:val="44"/>
        </w:rPr>
      </w:r>
    </w:p>
    <w:p>
      <w:pPr>
        <w:pStyle w:val="Normal"/>
        <w:spacing w:lineRule="auto" w:line="240" w:before="0" w:after="0"/>
        <w:ind w:firstLine="720" w:left="720"/>
        <w:jc w:val="center"/>
        <w:rPr>
          <w:rFonts w:ascii="arial" w:hAnsi="arial" w:eastAsia="Times New Roman" w:cs="Times New Roman"/>
          <w:b/>
          <w:color w:val="000000"/>
          <w:sz w:val="40"/>
          <w:szCs w:val="44"/>
        </w:rPr>
      </w:pPr>
      <w:r>
        <w:rPr>
          <w:rFonts w:eastAsia="Times New Roman" w:cs="Times New Roman" w:ascii="arial" w:hAnsi="arial"/>
          <w:b/>
          <w:color w:val="000000"/>
          <w:sz w:val="40"/>
          <w:szCs w:val="44"/>
        </w:rPr>
      </w:r>
    </w:p>
    <w:p>
      <w:pPr>
        <w:pStyle w:val="Normal"/>
        <w:spacing w:lineRule="auto" w:line="240" w:before="0" w:after="0"/>
        <w:ind w:firstLine="720" w:left="720"/>
        <w:jc w:val="center"/>
        <w:rPr>
          <w:rFonts w:ascii="arial" w:hAnsi="arial"/>
        </w:rPr>
      </w:pPr>
      <w:r>
        <w:rPr>
          <w:rFonts w:eastAsia="Times New Roman" w:cs="Times New Roman" w:ascii="arial" w:hAnsi="arial"/>
          <w:b/>
          <w:color w:val="000000"/>
          <w:sz w:val="44"/>
          <w:szCs w:val="44"/>
        </w:rPr>
        <w:t>STUDENT’S HANDBOOK</w:t>
      </w:r>
    </w:p>
    <w:p>
      <w:pPr>
        <w:pStyle w:val="Normal"/>
        <w:spacing w:lineRule="auto" w:line="240" w:before="0" w:after="0"/>
        <w:ind w:firstLine="720" w:left="720"/>
        <w:jc w:val="center"/>
        <w:rPr>
          <w:rFonts w:ascii="arial" w:hAnsi="arial"/>
        </w:rPr>
      </w:pPr>
      <w:r>
        <w:rPr>
          <w:rFonts w:eastAsia="Times New Roman" w:cs="Times New Roman" w:ascii="arial" w:hAnsi="arial"/>
          <w:b/>
          <w:color w:val="000000"/>
          <w:sz w:val="38"/>
          <w:szCs w:val="44"/>
        </w:rPr>
        <w:t>202</w:t>
      </w:r>
      <w:r>
        <w:rPr>
          <w:rFonts w:eastAsia="Times New Roman" w:cs="Times New Roman" w:ascii="arial" w:hAnsi="arial"/>
          <w:b/>
          <w:color w:val="000000"/>
          <w:sz w:val="38"/>
          <w:szCs w:val="44"/>
        </w:rPr>
        <w:t>5</w:t>
      </w:r>
      <w:r>
        <w:rPr>
          <w:rFonts w:eastAsia="Times New Roman" w:cs="Times New Roman" w:ascii="arial" w:hAnsi="arial"/>
          <w:b/>
          <w:color w:val="000000"/>
          <w:sz w:val="38"/>
          <w:szCs w:val="44"/>
        </w:rPr>
        <w:t>/202</w:t>
      </w:r>
      <w:r>
        <w:rPr>
          <w:rFonts w:eastAsia="Times New Roman" w:cs="Times New Roman" w:ascii="arial" w:hAnsi="arial"/>
          <w:b/>
          <w:color w:val="000000"/>
          <w:sz w:val="38"/>
          <w:szCs w:val="44"/>
        </w:rPr>
        <w:t>6</w:t>
      </w:r>
      <w:r>
        <w:rPr>
          <w:rFonts w:eastAsia="Times New Roman" w:cs="Times New Roman" w:ascii="arial" w:hAnsi="arial"/>
          <w:b/>
          <w:color w:val="000000"/>
          <w:sz w:val="38"/>
          <w:szCs w:val="44"/>
        </w:rPr>
        <w:t xml:space="preserve"> SESSION    </w:t>
      </w:r>
    </w:p>
    <w:p>
      <w:pPr>
        <w:pStyle w:val="Normal"/>
        <w:spacing w:lineRule="auto" w:line="240" w:before="0" w:after="0"/>
        <w:ind w:firstLine="720" w:left="720"/>
        <w:jc w:val="center"/>
        <w:rPr>
          <w:rFonts w:ascii="arial" w:hAnsi="arial" w:eastAsia="Times New Roman" w:cs="Times New Roman"/>
          <w:b/>
          <w:color w:val="000000"/>
          <w:sz w:val="38"/>
          <w:szCs w:val="44"/>
        </w:rPr>
      </w:pPr>
      <w:r>
        <w:rPr>
          <w:rFonts w:eastAsia="Times New Roman" w:cs="Times New Roman" w:ascii="arial" w:hAnsi="arial"/>
          <w:b/>
          <w:color w:val="000000"/>
          <w:sz w:val="38"/>
          <w:szCs w:val="44"/>
        </w:rPr>
      </w:r>
    </w:p>
    <w:p>
      <w:pPr>
        <w:pStyle w:val="Normal"/>
        <w:spacing w:lineRule="auto" w:line="240" w:before="0" w:after="0"/>
        <w:ind w:firstLine="720" w:left="720"/>
        <w:jc w:val="center"/>
        <w:rPr>
          <w:rFonts w:ascii="arial" w:hAnsi="arial" w:eastAsia="Times New Roman" w:cs="Times New Roman"/>
          <w:b/>
          <w:color w:val="000000"/>
          <w:sz w:val="38"/>
          <w:szCs w:val="44"/>
        </w:rPr>
      </w:pPr>
      <w:r>
        <w:rPr>
          <w:rFonts w:eastAsia="Times New Roman" w:cs="Times New Roman" w:ascii="arial" w:hAnsi="arial"/>
          <w:b/>
          <w:color w:val="000000"/>
          <w:sz w:val="38"/>
          <w:szCs w:val="44"/>
        </w:rPr>
      </w:r>
    </w:p>
    <w:p>
      <w:pPr>
        <w:pStyle w:val="Normal"/>
        <w:spacing w:lineRule="auto" w:line="240" w:before="0" w:after="0"/>
        <w:ind w:firstLine="720" w:left="720"/>
        <w:jc w:val="center"/>
        <w:rPr>
          <w:rFonts w:ascii="arial" w:hAnsi="arial" w:eastAsia="Times New Roman" w:cs="Times New Roman"/>
          <w:b/>
          <w:color w:val="000000"/>
          <w:sz w:val="38"/>
          <w:szCs w:val="44"/>
        </w:rPr>
      </w:pPr>
      <w:r>
        <w:rPr>
          <w:rFonts w:eastAsia="Times New Roman" w:cs="Times New Roman" w:ascii="arial" w:hAnsi="arial"/>
          <w:b/>
          <w:color w:val="000000"/>
          <w:sz w:val="38"/>
          <w:szCs w:val="44"/>
        </w:rPr>
      </w:r>
    </w:p>
    <w:p>
      <w:pPr>
        <w:pStyle w:val="Normal"/>
        <w:spacing w:lineRule="auto" w:line="240" w:before="0" w:after="0"/>
        <w:ind w:firstLine="720" w:left="720"/>
        <w:jc w:val="center"/>
        <w:rPr>
          <w:rFonts w:ascii="arial" w:hAnsi="arial" w:eastAsia="Times New Roman" w:cs="Times New Roman"/>
          <w:b/>
          <w:color w:val="000000"/>
          <w:sz w:val="38"/>
          <w:szCs w:val="44"/>
        </w:rPr>
      </w:pPr>
      <w:r>
        <w:rPr>
          <w:rFonts w:eastAsia="Times New Roman" w:cs="Times New Roman" w:ascii="arial" w:hAnsi="arial"/>
          <w:b/>
          <w:color w:val="000000"/>
          <w:sz w:val="38"/>
          <w:szCs w:val="44"/>
        </w:rPr>
      </w:r>
    </w:p>
    <w:p>
      <w:pPr>
        <w:pStyle w:val="Normal"/>
        <w:spacing w:lineRule="auto" w:line="240" w:before="0" w:after="0"/>
        <w:ind w:firstLine="720" w:left="720"/>
        <w:jc w:val="center"/>
        <w:rPr>
          <w:rFonts w:ascii="arial" w:hAnsi="arial" w:eastAsia="Times New Roman" w:cs="Times New Roman"/>
          <w:b/>
          <w:color w:val="000000"/>
          <w:sz w:val="38"/>
          <w:szCs w:val="44"/>
        </w:rPr>
      </w:pPr>
      <w:r>
        <w:rPr>
          <w:rFonts w:eastAsia="Times New Roman" w:cs="Times New Roman" w:ascii="arial" w:hAnsi="arial"/>
          <w:b/>
          <w:color w:val="000000"/>
          <w:sz w:val="38"/>
          <w:szCs w:val="44"/>
        </w:rPr>
      </w:r>
    </w:p>
    <w:p>
      <w:pPr>
        <w:pStyle w:val="Normal"/>
        <w:spacing w:lineRule="auto" w:line="240" w:before="0" w:after="0"/>
        <w:ind w:firstLine="720" w:left="720"/>
        <w:jc w:val="center"/>
        <w:rPr>
          <w:rFonts w:ascii="arial" w:hAnsi="arial" w:eastAsia="Times New Roman" w:cs="Times New Roman"/>
          <w:b/>
          <w:color w:val="000000"/>
          <w:sz w:val="38"/>
          <w:szCs w:val="44"/>
        </w:rPr>
      </w:pPr>
      <w:r>
        <w:rPr>
          <w:rFonts w:eastAsia="Times New Roman" w:cs="Times New Roman" w:ascii="arial" w:hAnsi="arial"/>
          <w:b/>
          <w:color w:val="000000"/>
          <w:sz w:val="38"/>
          <w:szCs w:val="44"/>
        </w:rPr>
      </w:r>
    </w:p>
    <w:p>
      <w:pPr>
        <w:pStyle w:val="Normal"/>
        <w:spacing w:lineRule="auto" w:line="240" w:before="0" w:after="0"/>
        <w:ind w:firstLine="720" w:left="720"/>
        <w:jc w:val="center"/>
        <w:rPr>
          <w:rFonts w:ascii="arial" w:hAnsi="arial" w:eastAsia="Times New Roman" w:cs="Times New Roman"/>
          <w:b/>
          <w:color w:val="000000"/>
          <w:sz w:val="38"/>
          <w:szCs w:val="44"/>
        </w:rPr>
      </w:pPr>
      <w:r>
        <w:rPr>
          <w:rFonts w:eastAsia="Times New Roman" w:cs="Times New Roman" w:ascii="arial" w:hAnsi="arial"/>
          <w:b/>
          <w:color w:val="000000"/>
          <w:sz w:val="38"/>
          <w:szCs w:val="44"/>
        </w:rPr>
      </w:r>
    </w:p>
    <w:p>
      <w:pPr>
        <w:pStyle w:val="Normal"/>
        <w:spacing w:lineRule="auto" w:line="240" w:before="0" w:after="0"/>
        <w:rPr>
          <w:rFonts w:ascii="arial" w:hAnsi="arial" w:eastAsia="Times New Roman" w:cs="Times New Roman"/>
          <w:b/>
          <w:color w:val="000000"/>
          <w:sz w:val="38"/>
          <w:szCs w:val="44"/>
        </w:rPr>
      </w:pPr>
      <w:r>
        <w:rPr>
          <w:rFonts w:eastAsia="Times New Roman" w:cs="Times New Roman" w:ascii="arial" w:hAnsi="arial"/>
          <w:b/>
          <w:color w:val="000000"/>
          <w:sz w:val="38"/>
          <w:szCs w:val="44"/>
        </w:rPr>
      </w:r>
    </w:p>
    <w:p>
      <w:pPr>
        <w:pStyle w:val="Normal"/>
        <w:spacing w:lineRule="auto" w:line="240" w:before="0" w:after="0"/>
        <w:rPr>
          <w:rFonts w:ascii="arial" w:hAnsi="arial" w:eastAsia="" w:cs="" w:cstheme="majorBidi" w:eastAsiaTheme="majorEastAsia"/>
          <w:b/>
          <w:bCs/>
          <w:sz w:val="24"/>
          <w:szCs w:val="24"/>
        </w:rPr>
      </w:pPr>
      <w:r>
        <w:rPr>
          <w:rFonts w:eastAsia="" w:cs="" w:cstheme="majorBidi" w:eastAsiaTheme="majorEastAsia" w:ascii="arial" w:hAnsi="arial"/>
          <w:b/>
          <w:bCs/>
          <w:sz w:val="24"/>
          <w:szCs w:val="24"/>
        </w:rPr>
      </w:r>
    </w:p>
    <w:p>
      <w:pPr>
        <w:pStyle w:val="Heading2"/>
        <w:rPr>
          <w:rFonts w:ascii="arial" w:hAnsi="arial"/>
        </w:rPr>
      </w:pPr>
      <w:r>
        <w:rPr>
          <w:rFonts w:ascii="arial" w:hAnsi="arial"/>
          <w:color w:val="auto"/>
          <w:sz w:val="24"/>
          <w:szCs w:val="24"/>
        </w:rPr>
        <w:t>HISTORY OF THE DEPARTMENT OF PHILOSOPHY</w:t>
      </w:r>
    </w:p>
    <w:p>
      <w:pPr>
        <w:pStyle w:val="Normal"/>
        <w:jc w:val="both"/>
        <w:rPr>
          <w:rFonts w:ascii="arial" w:hAnsi="arial"/>
        </w:rPr>
      </w:pPr>
      <w:r>
        <w:rPr>
          <w:rFonts w:cs="Times New Roman" w:ascii="arial" w:hAnsi="arial"/>
          <w:sz w:val="24"/>
          <w:szCs w:val="24"/>
        </w:rPr>
        <w:t>The Department of Philosophy was established at the inception of Niger Delta University in 2001. Mr C.E. Eyomiowei was appointed as the first moderator cum acting head of department. It, however, existed as a unit in the Department of Philosophy and Religious Studies with two graduate assistants, Mr Elias Edise Courson and Mr Ebimieowei Andabolo Owutuamor. Mr Azibalua Onyagholo later joined the academic team as a graduate assistant. In the 2004/2005 academic session, both units in the department were separated. S.S. Eberiye was appointed Coordinator and Acting Head of the Department of Philosophy. He had earlier converted from the university security unit to academics. Mr Ebikisei Stanley Udisi and Dr Agha Eresia-Eke were added to the academic team as assistant lecturer and lecturer II, respectively. Subsequently, the department’s academic content greatly improved through the engagement of other seasoned academics and the promotion of earlier employees to the ranks of professors, senior lecturers, and other positions.</w:t>
      </w:r>
    </w:p>
    <w:p>
      <w:pPr>
        <w:pStyle w:val="Normal"/>
        <w:jc w:val="both"/>
        <w:rPr>
          <w:rFonts w:ascii="arial" w:hAnsi="arial"/>
        </w:rPr>
      </w:pPr>
      <w:r>
        <w:rPr>
          <w:rFonts w:cs="Times New Roman" w:ascii="arial" w:hAnsi="arial"/>
          <w:sz w:val="24"/>
          <w:szCs w:val="24"/>
        </w:rPr>
        <w:t>In the 2005/2006 academic session, the Department of Philosophy and the Department of Religious Studies were merged again into one department for administrative convenience, while continuing to offer courses in philosophy and religious studies with the view of awarding two separate Bachelor of Arts (Honours) Degrees: one in Philosophy and one in Religious Studies. The department has had Professor C.A. Dime, Professor F.U. Okafor, Professor M.Y. Nabofa, and Dr B. L. Saale as heads of department.</w:t>
      </w:r>
    </w:p>
    <w:p>
      <w:pPr>
        <w:pStyle w:val="Normal"/>
        <w:jc w:val="both"/>
        <w:rPr>
          <w:rFonts w:ascii="arial" w:hAnsi="arial"/>
        </w:rPr>
      </w:pPr>
      <w:r>
        <w:rPr>
          <w:rFonts w:cs="Times New Roman" w:ascii="arial" w:hAnsi="arial"/>
          <w:sz w:val="24"/>
          <w:szCs w:val="24"/>
        </w:rPr>
        <w:t xml:space="preserve">In the 2018/2019 academic session, the two units in the then Department of Philosophy and Religious Studies were demerged. The Department of Philosophy, therefore, became autonomous. Professor Agha Eresia-Eke was appointed the first head of department and completed his tenure after serving meritoriously for two academic sessions. Dr Ebikisei Stanley Udisi, a senior Lecturer, was appointed as acting head of department for the 2020/2021 to 2022/2023 academic sessions. Dr Azibalua Onyagholo was then appointed as acting head of department, with effect from the 2022/2023 session. The current coordinating head of department is Dr Mark D. Ekperi, </w:t>
      </w:r>
      <w:r>
        <w:rPr>
          <w:rFonts w:cs="Times New Roman" w:ascii="arial" w:hAnsi="arial"/>
          <w:sz w:val="24"/>
          <w:szCs w:val="24"/>
        </w:rPr>
        <w:t>was appointed</w:t>
      </w:r>
      <w:r>
        <w:rPr>
          <w:rFonts w:cs="Times New Roman" w:ascii="arial" w:hAnsi="arial"/>
          <w:sz w:val="24"/>
          <w:szCs w:val="24"/>
        </w:rPr>
        <w:t xml:space="preserve"> </w:t>
      </w:r>
      <w:r>
        <w:rPr>
          <w:rFonts w:cs="Times New Roman" w:ascii="arial" w:hAnsi="arial"/>
          <w:sz w:val="24"/>
          <w:szCs w:val="24"/>
        </w:rPr>
        <w:t>on</w:t>
      </w:r>
      <w:r>
        <w:rPr>
          <w:rFonts w:cs="Times New Roman" w:ascii="arial" w:hAnsi="arial"/>
          <w:sz w:val="24"/>
          <w:szCs w:val="24"/>
        </w:rPr>
        <w:t xml:space="preserve"> June 1 2026.</w:t>
      </w:r>
    </w:p>
    <w:p>
      <w:pPr>
        <w:pStyle w:val="Normal"/>
        <w:jc w:val="both"/>
        <w:rPr>
          <w:rFonts w:ascii="arial" w:hAnsi="arial"/>
        </w:rPr>
      </w:pPr>
      <w:r>
        <w:rPr>
          <w:rFonts w:cs="Times New Roman" w:ascii="arial" w:hAnsi="arial"/>
          <w:b/>
          <w:bCs/>
          <w:sz w:val="24"/>
          <w:szCs w:val="24"/>
        </w:rPr>
        <w:t>THE CORE COURSES OFFERED IN THE DEPARTMENT OF PHILOSOPHY</w:t>
      </w:r>
      <w:r>
        <w:rPr>
          <w:rFonts w:cs="Times New Roman" w:ascii="arial" w:hAnsi="arial"/>
          <w:sz w:val="24"/>
          <w:szCs w:val="24"/>
        </w:rPr>
        <w:t xml:space="preserve"> include the following: Introduction to Philosophy, Ancient Philosophy, Medieval Philosophy, Modern and Contemporary Philosophy, Logic, Ethics, Metaphysics, Epistemology, Phenomenology and Existentialism, African Philosophy, Philosophy of Religion, Philosophy of Arts and Aesthetics, Social Political Philosophy, Philosophy of Science, Philosophy of Law, Environmental Philosophy, History and Philosophy of Science, Introduction to Philosophy and Logic, Nigerian People and Culture, etc.</w:t>
      </w:r>
    </w:p>
    <w:p>
      <w:pPr>
        <w:pStyle w:val="Normal"/>
        <w:jc w:val="center"/>
        <w:rPr>
          <w:rFonts w:ascii="arial" w:hAnsi="arial"/>
        </w:rPr>
      </w:pPr>
      <w:r>
        <w:rPr>
          <w:rFonts w:cs="Times New Roman" w:ascii="arial" w:hAnsi="arial"/>
          <w:b/>
          <w:sz w:val="24"/>
          <w:szCs w:val="24"/>
        </w:rPr>
        <w:t>AIMS AND OBJECTIVES OF THE DEPARTMENT OF PHILOSOPHY</w:t>
      </w:r>
    </w:p>
    <w:p>
      <w:pPr>
        <w:pStyle w:val="Normal"/>
        <w:jc w:val="both"/>
        <w:rPr>
          <w:rFonts w:ascii="arial" w:hAnsi="arial"/>
        </w:rPr>
      </w:pPr>
      <w:r>
        <w:rPr>
          <w:rFonts w:cs="Times New Roman" w:ascii="arial" w:hAnsi="arial"/>
          <w:sz w:val="24"/>
          <w:szCs w:val="24"/>
        </w:rPr>
        <w:t>The department's objective is to train students’ critical and analytical skills through the subject matter and methods of Philosophy. It also aims to cultivate their ability to isolate and examine the principles and issues involved in complex theoretical situations and in real, practical problems, and to broaden their intellectual perspective within a humanising educational experience.</w:t>
      </w:r>
    </w:p>
    <w:p>
      <w:pPr>
        <w:pStyle w:val="Normal"/>
        <w:jc w:val="both"/>
        <w:rPr>
          <w:rFonts w:ascii="arial" w:hAnsi="arial"/>
        </w:rPr>
      </w:pPr>
      <w:r>
        <w:rPr>
          <w:rFonts w:cs="Times New Roman" w:ascii="arial" w:hAnsi="arial"/>
          <w:sz w:val="24"/>
          <w:szCs w:val="24"/>
        </w:rPr>
      </w:r>
    </w:p>
    <w:p>
      <w:pPr>
        <w:pStyle w:val="Normal"/>
        <w:jc w:val="both"/>
        <w:rPr>
          <w:rFonts w:ascii="arial" w:hAnsi="arial"/>
        </w:rPr>
      </w:pPr>
      <w:r>
        <w:rPr>
          <w:rFonts w:cs="Times New Roman" w:ascii="arial" w:hAnsi="arial"/>
          <w:sz w:val="24"/>
          <w:szCs w:val="24"/>
        </w:rPr>
        <w:t>While paying due and proper attention to the significant philosophical insights of the past, the department encourages students’ active engagement with problems and issues peculiar to the field of Philosophy rather than the more traditional historical approach of presenting students with a dizzying plethora of names and unconnected, conflicting ideas and theories. Also, while subscribing to the ‘universality’ of Philosophy and recognising that a department of Philosophy in an African university has a lot that it can profitably learn from other traditions of Philosophy, the department aims, through special courses and research, to foster the general African and the specifically Nigerian cultural roots and dimensions of the discipline called Philosophy. It is easy for anyone to see, for example, that Nyerere could raise questions of political Philosophy as fundamentally as Locke and Hobbes did, and what is, as important, more relevant and meaningful for students in an African university. While the present programme reflects rather conspicuously the influence of the Anglo-Saxon tradition of philosophy, such as empiricism, Rationalism, Marxism, existentialism, and some Oriental Philosophies, it is intended that this initial attention will enhance the rapid growth of Philosophy, particularly of African Philosophy, both in Nigeria and on the African continent.</w:t>
      </w:r>
    </w:p>
    <w:p>
      <w:pPr>
        <w:pStyle w:val="Normal"/>
        <w:jc w:val="both"/>
        <w:rPr>
          <w:rFonts w:ascii="arial" w:hAnsi="arial"/>
        </w:rPr>
      </w:pPr>
      <w:r>
        <w:rPr>
          <w:rFonts w:cs="Times New Roman" w:ascii="arial" w:hAnsi="arial"/>
          <w:b/>
          <w:sz w:val="24"/>
          <w:szCs w:val="24"/>
        </w:rPr>
        <w:t>Service Courses in the Philosophy Department</w:t>
      </w:r>
    </w:p>
    <w:p>
      <w:pPr>
        <w:pStyle w:val="Normal"/>
        <w:jc w:val="both"/>
        <w:rPr>
          <w:rFonts w:ascii="arial" w:hAnsi="arial"/>
        </w:rPr>
      </w:pPr>
      <w:r>
        <w:rPr>
          <w:rFonts w:cs="Times New Roman" w:ascii="arial" w:hAnsi="arial"/>
          <w:sz w:val="24"/>
          <w:szCs w:val="24"/>
        </w:rPr>
        <w:t>Apart from the regular courses for single Honours students, the department offers various service courses that are essential to the theoretical understanding of various departments of knowledge and provide the necessary critical analytical skills for addressing difficult problems and attempting solutions. In this connection, the department offers various relevant courses in History and Philosophy of Science, Logic and Philosophy to all students in the university through the General Studies Unit.</w:t>
      </w:r>
    </w:p>
    <w:p>
      <w:pPr>
        <w:pStyle w:val="Normal"/>
        <w:jc w:val="both"/>
        <w:rPr>
          <w:rFonts w:ascii="arial" w:hAnsi="arial"/>
        </w:rPr>
      </w:pPr>
      <w:r>
        <w:rPr>
          <w:rFonts w:ascii="arial" w:hAnsi="arial"/>
          <w:b/>
          <w:sz w:val="24"/>
          <w:szCs w:val="24"/>
        </w:rPr>
        <w:t>Job Opportunities</w:t>
      </w:r>
    </w:p>
    <w:p>
      <w:pPr>
        <w:pStyle w:val="Normal"/>
        <w:jc w:val="both"/>
        <w:rPr>
          <w:rFonts w:ascii="arial" w:hAnsi="arial"/>
        </w:rPr>
      </w:pPr>
      <w:r>
        <w:rPr>
          <w:rFonts w:ascii="arial" w:hAnsi="arial"/>
          <w:sz w:val="24"/>
          <w:szCs w:val="24"/>
        </w:rPr>
        <w:t>Graduates of the department have employment opportunities in both the public and private sectors of the economy as policy analysts, administrative and personnel officers, career diplomats, bankers, military and paramilitary officers, school administrators, and teachers at the secondary and tertiary levels. etc.</w:t>
      </w:r>
    </w:p>
    <w:p>
      <w:pPr>
        <w:pStyle w:val="Normal"/>
        <w:jc w:val="both"/>
        <w:rPr>
          <w:rFonts w:ascii="arial" w:hAnsi="arial"/>
        </w:rPr>
      </w:pPr>
      <w:r>
        <w:rPr>
          <w:rFonts w:cs="Times New Roman" w:ascii="arial" w:hAnsi="arial"/>
          <w:b/>
          <w:sz w:val="24"/>
          <w:szCs w:val="24"/>
        </w:rPr>
        <w:t>Admission Requirements</w:t>
      </w:r>
    </w:p>
    <w:p>
      <w:pPr>
        <w:pStyle w:val="Normal"/>
        <w:jc w:val="both"/>
        <w:rPr>
          <w:rFonts w:ascii="arial" w:hAnsi="arial"/>
        </w:rPr>
      </w:pPr>
      <w:r>
        <w:rPr>
          <w:rFonts w:cs="Times New Roman" w:ascii="arial" w:hAnsi="arial"/>
          <w:sz w:val="24"/>
          <w:szCs w:val="24"/>
        </w:rPr>
        <w:t>To qualify for admission into the four-year degree program in philosophy, candidates must obtain acceptable scores in the University Matriculation Examination, in addition to the general requirements of the university, possess a credit pass in five relevant subjects, which must include Mathematics and English Language, at not more than two sittings in the prescribed O-Level examinations.</w:t>
      </w:r>
    </w:p>
    <w:p>
      <w:pPr>
        <w:pStyle w:val="ListParagraph"/>
        <w:jc w:val="both"/>
        <w:rPr>
          <w:rFonts w:ascii="arial" w:hAnsi="arial" w:cs="Times New Roman"/>
          <w:sz w:val="24"/>
          <w:szCs w:val="24"/>
        </w:rPr>
      </w:pPr>
      <w:r>
        <w:rPr>
          <w:rFonts w:cs="Times New Roman" w:ascii="arial" w:hAnsi="arial"/>
          <w:sz w:val="24"/>
          <w:szCs w:val="24"/>
        </w:rPr>
      </w:r>
    </w:p>
    <w:p>
      <w:pPr>
        <w:pStyle w:val="ListParagraph"/>
        <w:numPr>
          <w:ilvl w:val="0"/>
          <w:numId w:val="5"/>
        </w:numPr>
        <w:ind w:hanging="720" w:left="720"/>
        <w:jc w:val="both"/>
        <w:rPr>
          <w:rFonts w:ascii="arial" w:hAnsi="arial"/>
        </w:rPr>
      </w:pPr>
      <w:r>
        <w:rPr>
          <w:rFonts w:ascii="arial" w:hAnsi="arial"/>
          <w:b/>
          <w:sz w:val="24"/>
          <w:szCs w:val="24"/>
        </w:rPr>
        <w:t>UNIVERSITY POLICIES AND PROCEDURES</w:t>
      </w:r>
    </w:p>
    <w:p>
      <w:pPr>
        <w:pStyle w:val="ListParagraph"/>
        <w:jc w:val="both"/>
        <w:rPr>
          <w:rFonts w:ascii="arial" w:hAnsi="arial"/>
        </w:rPr>
      </w:pPr>
      <w:r>
        <w:rPr>
          <w:rFonts w:ascii="arial" w:hAnsi="arial"/>
          <w:b/>
          <w:sz w:val="24"/>
          <w:szCs w:val="24"/>
        </w:rPr>
        <w:t>(this part is copied directly from the University Guidelines)</w:t>
      </w:r>
    </w:p>
    <w:p>
      <w:pPr>
        <w:pStyle w:val="ListParagraph"/>
        <w:ind w:left="0"/>
        <w:jc w:val="both"/>
        <w:rPr>
          <w:rFonts w:ascii="arial" w:hAnsi="arial"/>
        </w:rPr>
      </w:pPr>
      <w:r>
        <w:rPr>
          <w:rFonts w:ascii="arial" w:hAnsi="arial"/>
          <w:sz w:val="24"/>
          <w:szCs w:val="24"/>
        </w:rPr>
        <w:t>The Niger Delta University has a number of Policies and procedures that are put in place to guide students during their studentship in the University. These policies, procedures and regulations are meant to guide every student of the University and they include the following: procedure for registration of students into the programme in which they are admitted; Academic Regulations Conduct of University Examination Students’ Welfare and Disciplinary Matters.</w:t>
      </w:r>
    </w:p>
    <w:p>
      <w:pPr>
        <w:pStyle w:val="ListParagraph"/>
        <w:ind w:left="360"/>
        <w:jc w:val="both"/>
        <w:rPr>
          <w:rFonts w:ascii="arial" w:hAnsi="arial"/>
          <w:sz w:val="24"/>
          <w:szCs w:val="24"/>
        </w:rPr>
      </w:pPr>
      <w:r>
        <w:rPr>
          <w:rFonts w:ascii="arial" w:hAnsi="arial"/>
          <w:sz w:val="24"/>
          <w:szCs w:val="24"/>
        </w:rPr>
      </w:r>
    </w:p>
    <w:p>
      <w:pPr>
        <w:pStyle w:val="Normal"/>
        <w:ind w:hanging="720" w:left="720"/>
        <w:jc w:val="both"/>
        <w:rPr>
          <w:rFonts w:ascii="arial" w:hAnsi="arial"/>
        </w:rPr>
      </w:pPr>
      <w:r>
        <w:rPr>
          <w:rFonts w:ascii="arial" w:hAnsi="arial"/>
          <w:b/>
          <w:sz w:val="24"/>
          <w:szCs w:val="24"/>
        </w:rPr>
        <w:t>1.01 PROCEDURE FOR REGISTRATION OF FRESH STUDENTS FOR ACADEMIC ACTIVITIES</w:t>
      </w:r>
    </w:p>
    <w:p>
      <w:pPr>
        <w:pStyle w:val="Normal"/>
        <w:jc w:val="both"/>
        <w:rPr>
          <w:rFonts w:ascii="arial" w:hAnsi="arial"/>
        </w:rPr>
      </w:pPr>
      <w:r>
        <w:rPr>
          <w:rFonts w:ascii="arial" w:hAnsi="arial"/>
          <w:sz w:val="24"/>
          <w:szCs w:val="24"/>
        </w:rPr>
        <w:t>All fresh candidates of the University must register for courses in their various programmes through the completion of relevant documents. Registration of fresh students will commerce in the Academic Division of the University and then completed in the facilities. The procedure for the registration of fresh students is as follows:</w:t>
      </w:r>
    </w:p>
    <w:p>
      <w:pPr>
        <w:pStyle w:val="Normal"/>
        <w:jc w:val="both"/>
        <w:rPr>
          <w:rFonts w:ascii="arial" w:hAnsi="arial"/>
        </w:rPr>
      </w:pPr>
      <w:r>
        <w:rPr>
          <w:rFonts w:ascii="arial" w:hAnsi="arial"/>
          <w:b/>
          <w:sz w:val="24"/>
          <w:szCs w:val="24"/>
        </w:rPr>
        <w:t>1.02</w:t>
        <w:tab/>
        <w:t>CLEARANCE AND REGISTRATION PROCEDURE:</w:t>
      </w:r>
    </w:p>
    <w:p>
      <w:pPr>
        <w:pStyle w:val="Normal"/>
        <w:jc w:val="both"/>
        <w:rPr>
          <w:rFonts w:ascii="arial" w:hAnsi="arial"/>
        </w:rPr>
      </w:pPr>
      <w:r>
        <w:rPr>
          <w:rFonts w:ascii="arial" w:hAnsi="arial"/>
          <w:sz w:val="24"/>
          <w:szCs w:val="24"/>
        </w:rPr>
        <w:t>STEP 1: All students shall obtain their Admission Letters from the Academic office of the University.</w:t>
      </w:r>
    </w:p>
    <w:p>
      <w:pPr>
        <w:pStyle w:val="Normal"/>
        <w:jc w:val="both"/>
        <w:rPr>
          <w:rFonts w:ascii="arial" w:hAnsi="arial"/>
        </w:rPr>
      </w:pPr>
      <w:r>
        <w:rPr>
          <w:rFonts w:ascii="arial" w:hAnsi="arial"/>
          <w:sz w:val="24"/>
          <w:szCs w:val="24"/>
        </w:rPr>
        <w:t>STEP 2: All students shall present the following documents/items at the central Clearance Centre:</w:t>
      </w:r>
    </w:p>
    <w:p>
      <w:pPr>
        <w:pStyle w:val="ListParagraph"/>
        <w:numPr>
          <w:ilvl w:val="0"/>
          <w:numId w:val="1"/>
        </w:numPr>
        <w:jc w:val="both"/>
        <w:rPr>
          <w:rFonts w:ascii="arial" w:hAnsi="arial"/>
        </w:rPr>
      </w:pPr>
      <w:r>
        <w:rPr>
          <w:rFonts w:ascii="arial" w:hAnsi="arial"/>
          <w:sz w:val="24"/>
          <w:szCs w:val="24"/>
        </w:rPr>
        <w:t>Letter(s) of Admission into the University issued by JAMB and the Niger Delta University;</w:t>
      </w:r>
    </w:p>
    <w:p>
      <w:pPr>
        <w:pStyle w:val="ListParagraph"/>
        <w:numPr>
          <w:ilvl w:val="0"/>
          <w:numId w:val="1"/>
        </w:numPr>
        <w:jc w:val="both"/>
        <w:rPr>
          <w:rFonts w:ascii="arial" w:hAnsi="arial"/>
        </w:rPr>
      </w:pPr>
      <w:r>
        <w:rPr>
          <w:rFonts w:ascii="arial" w:hAnsi="arial"/>
          <w:sz w:val="24"/>
          <w:szCs w:val="24"/>
        </w:rPr>
        <w:t>Academic credentials: Certificates and JAMB Result Slip;</w:t>
        <w:tab/>
      </w:r>
    </w:p>
    <w:p>
      <w:pPr>
        <w:pStyle w:val="ListParagraph"/>
        <w:numPr>
          <w:ilvl w:val="0"/>
          <w:numId w:val="1"/>
        </w:numPr>
        <w:jc w:val="both"/>
        <w:rPr>
          <w:rFonts w:ascii="arial" w:hAnsi="arial"/>
        </w:rPr>
      </w:pPr>
      <w:r>
        <w:rPr>
          <w:rFonts w:ascii="arial" w:hAnsi="arial"/>
          <w:sz w:val="24"/>
          <w:szCs w:val="24"/>
        </w:rPr>
        <w:t>Birth Certificates or Statutory Declaration of Age;</w:t>
      </w:r>
    </w:p>
    <w:p>
      <w:pPr>
        <w:pStyle w:val="ListParagraph"/>
        <w:numPr>
          <w:ilvl w:val="0"/>
          <w:numId w:val="1"/>
        </w:numPr>
        <w:jc w:val="both"/>
        <w:rPr>
          <w:rFonts w:ascii="arial" w:hAnsi="arial"/>
        </w:rPr>
      </w:pPr>
      <w:r>
        <w:rPr>
          <w:rFonts w:ascii="arial" w:hAnsi="arial"/>
          <w:sz w:val="24"/>
          <w:szCs w:val="24"/>
        </w:rPr>
        <w:t>Local Government Identification Letter;</w:t>
      </w:r>
    </w:p>
    <w:p>
      <w:pPr>
        <w:pStyle w:val="ListParagraph"/>
        <w:numPr>
          <w:ilvl w:val="0"/>
          <w:numId w:val="1"/>
        </w:numPr>
        <w:jc w:val="both"/>
        <w:rPr>
          <w:rFonts w:ascii="arial" w:hAnsi="arial"/>
        </w:rPr>
      </w:pPr>
      <w:r>
        <w:rPr>
          <w:rFonts w:ascii="arial" w:hAnsi="arial"/>
          <w:sz w:val="24"/>
          <w:szCs w:val="24"/>
        </w:rPr>
        <w:t>Letters of Attestation from his/her parents/guardians vouching for his/her good behaviour and conduct;</w:t>
      </w:r>
    </w:p>
    <w:p>
      <w:pPr>
        <w:pStyle w:val="ListParagraph"/>
        <w:numPr>
          <w:ilvl w:val="0"/>
          <w:numId w:val="1"/>
        </w:numPr>
        <w:jc w:val="both"/>
        <w:rPr>
          <w:rFonts w:ascii="arial" w:hAnsi="arial"/>
        </w:rPr>
      </w:pPr>
      <w:r>
        <w:rPr>
          <w:rFonts w:ascii="arial" w:hAnsi="arial"/>
          <w:sz w:val="24"/>
          <w:szCs w:val="24"/>
        </w:rPr>
        <w:t>Four(4) recent Passport sized photographs with his/her name and course of study clearly written on the reverse side of the photographs and</w:t>
      </w:r>
    </w:p>
    <w:p>
      <w:pPr>
        <w:pStyle w:val="ListParagraph"/>
        <w:numPr>
          <w:ilvl w:val="0"/>
          <w:numId w:val="1"/>
        </w:numPr>
        <w:jc w:val="both"/>
        <w:rPr>
          <w:rFonts w:ascii="arial" w:hAnsi="arial"/>
        </w:rPr>
      </w:pPr>
      <w:r>
        <w:rPr>
          <w:rFonts w:ascii="arial" w:hAnsi="arial"/>
          <w:sz w:val="24"/>
          <w:szCs w:val="24"/>
        </w:rPr>
        <w:t>Three copies of each items from (i) to (v) above.</w:t>
      </w:r>
    </w:p>
    <w:p>
      <w:pPr>
        <w:pStyle w:val="Normal"/>
        <w:jc w:val="both"/>
        <w:rPr>
          <w:rFonts w:ascii="arial" w:hAnsi="arial"/>
        </w:rPr>
      </w:pPr>
      <w:r>
        <w:rPr>
          <w:rFonts w:ascii="arial" w:hAnsi="arial"/>
          <w:sz w:val="24"/>
          <w:szCs w:val="24"/>
        </w:rPr>
        <w:t>STEP 3: Students shall present all the items in Step 2 to the Clearance Officer at the Clearance Centre.</w:t>
      </w:r>
    </w:p>
    <w:p>
      <w:pPr>
        <w:pStyle w:val="Normal"/>
        <w:jc w:val="both"/>
        <w:rPr>
          <w:rFonts w:ascii="arial" w:hAnsi="arial"/>
        </w:rPr>
      </w:pPr>
      <w:r>
        <w:rPr>
          <w:rFonts w:ascii="arial" w:hAnsi="arial"/>
          <w:sz w:val="24"/>
          <w:szCs w:val="24"/>
        </w:rPr>
        <w:t>STEP 4: After the Clearance Officer has certified that the student meets the general and course requirements, he/she shall pay the appropriate fees in any of the designated banks as shown in the schedule and obtain a bank teller.</w:t>
      </w:r>
    </w:p>
    <w:p>
      <w:pPr>
        <w:pStyle w:val="Normal"/>
        <w:jc w:val="both"/>
        <w:rPr>
          <w:rFonts w:ascii="arial" w:hAnsi="arial"/>
        </w:rPr>
      </w:pPr>
      <w:r>
        <w:rPr>
          <w:rFonts w:ascii="arial" w:hAnsi="arial"/>
          <w:sz w:val="24"/>
          <w:szCs w:val="24"/>
        </w:rPr>
        <w:t>STEP 5: All students shall submit the bank tellers to any of the cashiers in the University Bursary Unit, who will issue to the students the University Bursary Receipt.</w:t>
      </w:r>
    </w:p>
    <w:p>
      <w:pPr>
        <w:pStyle w:val="Normal"/>
        <w:jc w:val="both"/>
        <w:rPr>
          <w:rFonts w:ascii="arial" w:hAnsi="arial"/>
        </w:rPr>
      </w:pPr>
      <w:r>
        <w:rPr>
          <w:rFonts w:ascii="arial" w:hAnsi="arial"/>
          <w:sz w:val="24"/>
          <w:szCs w:val="24"/>
        </w:rPr>
        <w:t>STEP 6: All students shall present at the Clearance Centre the original and three(3) photocopies of the University Bursary Receipt and obtain the following forms from the Clearance Officer:</w:t>
      </w:r>
    </w:p>
    <w:p>
      <w:pPr>
        <w:pStyle w:val="ListParagraph"/>
        <w:numPr>
          <w:ilvl w:val="0"/>
          <w:numId w:val="2"/>
        </w:numPr>
        <w:jc w:val="both"/>
        <w:rPr>
          <w:rFonts w:ascii="arial" w:hAnsi="arial"/>
        </w:rPr>
      </w:pPr>
      <w:r>
        <w:rPr>
          <w:rFonts w:ascii="arial" w:hAnsi="arial"/>
          <w:sz w:val="24"/>
          <w:szCs w:val="24"/>
        </w:rPr>
        <w:t>Acceptance Form (NDU/ACAD/01)</w:t>
      </w:r>
    </w:p>
    <w:p>
      <w:pPr>
        <w:pStyle w:val="ListParagraph"/>
        <w:numPr>
          <w:ilvl w:val="0"/>
          <w:numId w:val="2"/>
        </w:numPr>
        <w:jc w:val="both"/>
        <w:rPr>
          <w:rFonts w:ascii="arial" w:hAnsi="arial"/>
        </w:rPr>
      </w:pPr>
      <w:r>
        <w:rPr>
          <w:rFonts w:ascii="arial" w:hAnsi="arial"/>
          <w:sz w:val="24"/>
          <w:szCs w:val="24"/>
        </w:rPr>
        <w:t>Certificate of Clearance (NDU/ACAD/02)</w:t>
      </w:r>
    </w:p>
    <w:p>
      <w:pPr>
        <w:pStyle w:val="ListParagraph"/>
        <w:numPr>
          <w:ilvl w:val="0"/>
          <w:numId w:val="2"/>
        </w:numPr>
        <w:jc w:val="both"/>
        <w:rPr>
          <w:rFonts w:ascii="arial" w:hAnsi="arial"/>
        </w:rPr>
      </w:pPr>
      <w:r>
        <w:rPr>
          <w:rFonts w:ascii="arial" w:hAnsi="arial"/>
          <w:sz w:val="24"/>
          <w:szCs w:val="24"/>
        </w:rPr>
        <w:t>General Regulation Form (NDU/ACAD/03)</w:t>
      </w:r>
    </w:p>
    <w:p>
      <w:pPr>
        <w:pStyle w:val="ListParagraph"/>
        <w:numPr>
          <w:ilvl w:val="0"/>
          <w:numId w:val="2"/>
        </w:numPr>
        <w:jc w:val="both"/>
        <w:rPr>
          <w:rFonts w:ascii="arial" w:hAnsi="arial"/>
        </w:rPr>
      </w:pPr>
      <w:r>
        <w:rPr>
          <w:rFonts w:ascii="arial" w:hAnsi="arial"/>
          <w:sz w:val="24"/>
          <w:szCs w:val="24"/>
        </w:rPr>
        <w:t>Statutory Declaration of good behaviour Form (NDU/ACAD/06)</w:t>
      </w:r>
    </w:p>
    <w:p>
      <w:pPr>
        <w:pStyle w:val="ListParagraph"/>
        <w:numPr>
          <w:ilvl w:val="0"/>
          <w:numId w:val="2"/>
        </w:numPr>
        <w:jc w:val="both"/>
        <w:rPr>
          <w:rFonts w:ascii="arial" w:hAnsi="arial"/>
        </w:rPr>
      </w:pPr>
      <w:r>
        <w:rPr>
          <w:rFonts w:ascii="arial" w:hAnsi="arial"/>
          <w:sz w:val="24"/>
          <w:szCs w:val="24"/>
        </w:rPr>
        <w:t>Full home/office address, phone numbers and emails where available, of their parents/guardians.</w:t>
      </w:r>
    </w:p>
    <w:p>
      <w:pPr>
        <w:pStyle w:val="Normal"/>
        <w:jc w:val="both"/>
        <w:rPr>
          <w:rFonts w:ascii="arial" w:hAnsi="arial"/>
        </w:rPr>
      </w:pPr>
      <w:r>
        <w:rPr>
          <w:rFonts w:ascii="arial" w:hAnsi="arial"/>
          <w:sz w:val="24"/>
          <w:szCs w:val="24"/>
        </w:rPr>
        <w:t>STEP 7: ALL STUDENTS:</w:t>
      </w:r>
    </w:p>
    <w:p>
      <w:pPr>
        <w:pStyle w:val="ListParagraph"/>
        <w:numPr>
          <w:ilvl w:val="0"/>
          <w:numId w:val="3"/>
        </w:numPr>
        <w:jc w:val="both"/>
        <w:rPr>
          <w:rFonts w:ascii="arial" w:hAnsi="arial"/>
        </w:rPr>
      </w:pPr>
      <w:r>
        <w:rPr>
          <w:rFonts w:ascii="arial" w:hAnsi="arial"/>
          <w:sz w:val="24"/>
          <w:szCs w:val="24"/>
        </w:rPr>
        <w:t>Shall complete all the listed forms mentioned in Step 6</w:t>
      </w:r>
    </w:p>
    <w:p>
      <w:pPr>
        <w:pStyle w:val="ListParagraph"/>
        <w:numPr>
          <w:ilvl w:val="0"/>
          <w:numId w:val="3"/>
        </w:numPr>
        <w:jc w:val="both"/>
        <w:rPr>
          <w:rFonts w:ascii="arial" w:hAnsi="arial"/>
        </w:rPr>
      </w:pPr>
      <w:r>
        <w:rPr>
          <w:rFonts w:ascii="arial" w:hAnsi="arial"/>
          <w:sz w:val="24"/>
          <w:szCs w:val="24"/>
        </w:rPr>
        <w:t>Shall take the completed Statutory Declaration Form of good behaviour to the High Court for a signature of the Commissioner of Oaths;</w:t>
      </w:r>
    </w:p>
    <w:p>
      <w:pPr>
        <w:pStyle w:val="ListParagraph"/>
        <w:numPr>
          <w:ilvl w:val="0"/>
          <w:numId w:val="3"/>
        </w:numPr>
        <w:jc w:val="both"/>
        <w:rPr>
          <w:rFonts w:ascii="arial" w:hAnsi="arial"/>
        </w:rPr>
      </w:pPr>
      <w:r>
        <w:rPr>
          <w:rFonts w:ascii="arial" w:hAnsi="arial"/>
          <w:sz w:val="24"/>
          <w:szCs w:val="24"/>
        </w:rPr>
        <w:t>Shall make four (4) photocopies of the completed Acceptance, Certificate of Clearance, General Registration and Statutory Declaration forms and submit them to the Clearance Officers.</w:t>
      </w:r>
    </w:p>
    <w:p>
      <w:pPr>
        <w:pStyle w:val="Normal"/>
        <w:jc w:val="both"/>
        <w:rPr>
          <w:rFonts w:ascii="arial" w:hAnsi="arial"/>
        </w:rPr>
      </w:pPr>
      <w:r>
        <w:rPr>
          <w:rFonts w:ascii="arial" w:hAnsi="arial"/>
          <w:sz w:val="24"/>
          <w:szCs w:val="24"/>
        </w:rPr>
        <w:t>The Clearance Officer shall sign the Certificate of Clearance after all the required documents have been completed and submitted.</w:t>
      </w:r>
    </w:p>
    <w:p>
      <w:pPr>
        <w:pStyle w:val="Normal"/>
        <w:jc w:val="both"/>
        <w:rPr>
          <w:rFonts w:ascii="arial" w:hAnsi="arial"/>
        </w:rPr>
      </w:pPr>
      <w:r>
        <w:rPr>
          <w:rFonts w:ascii="arial" w:hAnsi="arial"/>
          <w:sz w:val="24"/>
          <w:szCs w:val="24"/>
        </w:rPr>
        <w:t>STEP 8: All students shall request for the Student List Format from the Clearance Officer and complete accordingly.</w:t>
      </w:r>
    </w:p>
    <w:p>
      <w:pPr>
        <w:pStyle w:val="Normal"/>
        <w:jc w:val="both"/>
        <w:rPr>
          <w:rFonts w:ascii="arial" w:hAnsi="arial"/>
        </w:rPr>
      </w:pPr>
      <w:r>
        <w:rPr>
          <w:rFonts w:ascii="arial" w:hAnsi="arial"/>
          <w:sz w:val="24"/>
          <w:szCs w:val="24"/>
        </w:rPr>
        <w:t>STEP 9: All students shall proceed to their respective Faculty Officers for course enrolment (Registration) exercise and proceed from there to his/her respective Departmental Office.</w:t>
      </w:r>
    </w:p>
    <w:p>
      <w:pPr>
        <w:pStyle w:val="Normal"/>
        <w:jc w:val="both"/>
        <w:rPr>
          <w:rFonts w:ascii="arial" w:hAnsi="arial"/>
        </w:rPr>
      </w:pPr>
      <w:r>
        <w:rPr>
          <w:rFonts w:ascii="arial" w:hAnsi="arial"/>
          <w:sz w:val="24"/>
          <w:szCs w:val="24"/>
        </w:rPr>
        <w:t>STEP 10: At the Departmental Offices, students shall be provided the list of courses for first and second semesters. He/she shall enter the appropriate courses in the first and second semester Course Enrolment Forms and submit them at his/her Departmental Office.</w:t>
      </w:r>
    </w:p>
    <w:p>
      <w:pPr>
        <w:pStyle w:val="Normal"/>
        <w:jc w:val="both"/>
        <w:rPr>
          <w:rFonts w:ascii="arial" w:hAnsi="arial"/>
        </w:rPr>
      </w:pPr>
      <w:r>
        <w:rPr>
          <w:rFonts w:ascii="arial" w:hAnsi="arial"/>
          <w:sz w:val="24"/>
          <w:szCs w:val="24"/>
        </w:rPr>
        <w:t>STEP 11: Before submitting the forms to the Departmental Officer, students should go over the Student List Format carefully to ensure that all the required information have been entered correctly.</w:t>
      </w:r>
    </w:p>
    <w:p>
      <w:pPr>
        <w:pStyle w:val="Normal"/>
        <w:jc w:val="both"/>
        <w:rPr>
          <w:rFonts w:ascii="arial" w:hAnsi="arial"/>
        </w:rPr>
      </w:pPr>
      <w:r>
        <w:rPr>
          <w:rFonts w:ascii="arial" w:hAnsi="arial"/>
          <w:sz w:val="24"/>
          <w:szCs w:val="24"/>
        </w:rPr>
        <w:t>Note: It is only when the Student Course Enrolment Forms have been completed and duly signed by the appropriate officers and the student's particulars entered in the Student List Format that registration would be deemed to have been duly completed</w:t>
      </w:r>
    </w:p>
    <w:p>
      <w:pPr>
        <w:pStyle w:val="Normal"/>
        <w:jc w:val="both"/>
        <w:rPr>
          <w:rFonts w:ascii="arial" w:hAnsi="arial"/>
        </w:rPr>
      </w:pPr>
      <w:r>
        <w:rPr>
          <w:rFonts w:ascii="arial" w:hAnsi="arial"/>
          <w:sz w:val="24"/>
          <w:szCs w:val="24"/>
        </w:rPr>
        <w:t xml:space="preserve">Students who do not complete all the eleven (11) steps mentioned above would not be issued Matriculation Numbers. A student without a Matriculation Number is not deemed to be a </w:t>
      </w:r>
      <w:r>
        <w:rPr>
          <w:rFonts w:ascii="arial" w:hAnsi="arial"/>
          <w:b/>
          <w:i/>
          <w:sz w:val="24"/>
          <w:szCs w:val="24"/>
        </w:rPr>
        <w:t>bona fide</w:t>
      </w:r>
      <w:r>
        <w:rPr>
          <w:rFonts w:ascii="arial" w:hAnsi="arial"/>
          <w:sz w:val="24"/>
          <w:szCs w:val="24"/>
        </w:rPr>
        <w:t xml:space="preserve"> student of Niger Delta University and would not be allowed to take lectures and write examinations. It is important to emphasize that the clearance and registration exercises lasts for only three (3) weeks.</w:t>
      </w:r>
    </w:p>
    <w:p>
      <w:pPr>
        <w:pStyle w:val="Normal"/>
        <w:jc w:val="both"/>
        <w:rPr>
          <w:rFonts w:ascii="arial" w:hAnsi="arial"/>
        </w:rPr>
      </w:pPr>
      <w:r>
        <w:rPr>
          <w:rFonts w:ascii="arial" w:hAnsi="arial"/>
          <w:b/>
          <w:sz w:val="24"/>
          <w:szCs w:val="24"/>
        </w:rPr>
        <w:t>1.03</w:t>
        <w:tab/>
        <w:t>REGISTRATION OF RETURNING STUDENTS</w:t>
      </w:r>
    </w:p>
    <w:p>
      <w:pPr>
        <w:pStyle w:val="Normal"/>
        <w:jc w:val="both"/>
        <w:rPr>
          <w:rFonts w:ascii="arial" w:hAnsi="arial"/>
        </w:rPr>
      </w:pPr>
      <w:r>
        <w:rPr>
          <w:rFonts w:ascii="arial" w:hAnsi="arial"/>
          <w:sz w:val="24"/>
          <w:szCs w:val="24"/>
        </w:rPr>
        <w:t>All returning students of the University are required to register for the prescribed courses in their programme of study (Philosophy) every academic session. All returning students must mandatorily register their courses in this order</w:t>
      </w:r>
    </w:p>
    <w:p>
      <w:pPr>
        <w:pStyle w:val="Normal"/>
        <w:jc w:val="both"/>
        <w:rPr>
          <w:rFonts w:ascii="arial" w:hAnsi="arial"/>
        </w:rPr>
      </w:pPr>
      <w:r>
        <w:rPr>
          <w:rFonts w:ascii="arial" w:hAnsi="arial"/>
          <w:sz w:val="24"/>
          <w:szCs w:val="24"/>
        </w:rPr>
        <w:t>i) Repeat Courses</w:t>
      </w:r>
    </w:p>
    <w:p>
      <w:pPr>
        <w:pStyle w:val="Normal"/>
        <w:jc w:val="both"/>
        <w:rPr>
          <w:rFonts w:ascii="arial" w:hAnsi="arial"/>
        </w:rPr>
      </w:pPr>
      <w:r>
        <w:rPr>
          <w:rFonts w:ascii="arial" w:hAnsi="arial"/>
          <w:sz w:val="24"/>
          <w:szCs w:val="24"/>
        </w:rPr>
        <w:t>ii) Compulsory Courses</w:t>
      </w:r>
    </w:p>
    <w:p>
      <w:pPr>
        <w:pStyle w:val="Normal"/>
        <w:jc w:val="both"/>
        <w:rPr>
          <w:rFonts w:ascii="arial" w:hAnsi="arial"/>
        </w:rPr>
      </w:pPr>
      <w:r>
        <w:rPr>
          <w:rFonts w:ascii="arial" w:hAnsi="arial"/>
          <w:sz w:val="24"/>
          <w:szCs w:val="24"/>
        </w:rPr>
        <w:t>iii) Required Courses</w:t>
      </w:r>
    </w:p>
    <w:p>
      <w:pPr>
        <w:pStyle w:val="Normal"/>
        <w:jc w:val="both"/>
        <w:rPr>
          <w:rFonts w:ascii="arial" w:hAnsi="arial"/>
        </w:rPr>
      </w:pPr>
      <w:r>
        <w:rPr>
          <w:rFonts w:ascii="arial" w:hAnsi="arial"/>
          <w:sz w:val="24"/>
          <w:szCs w:val="24"/>
        </w:rPr>
        <w:t>iv) Elective Courses</w:t>
      </w:r>
    </w:p>
    <w:p>
      <w:pPr>
        <w:pStyle w:val="Normal"/>
        <w:jc w:val="both"/>
        <w:rPr>
          <w:rFonts w:ascii="arial" w:hAnsi="arial"/>
        </w:rPr>
      </w:pPr>
      <w:r>
        <w:rPr>
          <w:rFonts w:ascii="arial" w:hAnsi="arial"/>
          <w:sz w:val="24"/>
          <w:szCs w:val="24"/>
        </w:rPr>
        <w:t>Students are expected to complete their registration within two weeks from the date of commencement of the first semester in the session.</w:t>
      </w:r>
    </w:p>
    <w:p>
      <w:pPr>
        <w:pStyle w:val="Normal"/>
        <w:jc w:val="both"/>
        <w:rPr>
          <w:rFonts w:ascii="arial" w:hAnsi="arial"/>
        </w:rPr>
      </w:pPr>
      <w:r>
        <w:rPr>
          <w:rFonts w:ascii="arial" w:hAnsi="arial"/>
          <w:b/>
          <w:sz w:val="24"/>
          <w:szCs w:val="24"/>
        </w:rPr>
        <w:t>1.04</w:t>
        <w:tab/>
        <w:t>LATE REGISTRATION</w:t>
      </w:r>
    </w:p>
    <w:p>
      <w:pPr>
        <w:pStyle w:val="Normal"/>
        <w:jc w:val="both"/>
        <w:rPr>
          <w:rFonts w:ascii="arial" w:hAnsi="arial"/>
        </w:rPr>
      </w:pPr>
      <w:r>
        <w:rPr>
          <w:rFonts w:ascii="arial" w:hAnsi="arial"/>
          <w:sz w:val="24"/>
          <w:szCs w:val="24"/>
        </w:rPr>
        <w:t xml:space="preserve">The University allows two (2) weeks after normal registration for late registration. Late registration attracts a fee for fresh students and for returning students. </w:t>
      </w:r>
    </w:p>
    <w:p>
      <w:pPr>
        <w:pStyle w:val="Normal"/>
        <w:jc w:val="both"/>
        <w:rPr>
          <w:rFonts w:ascii="arial" w:hAnsi="arial"/>
        </w:rPr>
      </w:pPr>
      <w:r>
        <w:rPr>
          <w:rFonts w:ascii="arial" w:hAnsi="arial"/>
          <w:b/>
          <w:sz w:val="24"/>
          <w:szCs w:val="24"/>
        </w:rPr>
        <w:t>1.05</w:t>
        <w:tab/>
        <w:t>REGISTRATION AT OTHER UNITS</w:t>
      </w:r>
    </w:p>
    <w:p>
      <w:pPr>
        <w:pStyle w:val="Normal"/>
        <w:jc w:val="both"/>
        <w:rPr>
          <w:rFonts w:ascii="arial" w:hAnsi="arial"/>
        </w:rPr>
      </w:pPr>
      <w:r>
        <w:rPr>
          <w:rFonts w:ascii="arial" w:hAnsi="arial"/>
          <w:sz w:val="24"/>
          <w:szCs w:val="24"/>
        </w:rPr>
        <w:t>All students are required to register upon presentation of evidence of payment of school fees at the following units</w:t>
      </w:r>
    </w:p>
    <w:p>
      <w:pPr>
        <w:pStyle w:val="Normal"/>
        <w:jc w:val="both"/>
        <w:rPr>
          <w:rFonts w:ascii="arial" w:hAnsi="arial"/>
        </w:rPr>
      </w:pPr>
      <w:r>
        <w:rPr>
          <w:rFonts w:ascii="arial" w:hAnsi="arial"/>
          <w:sz w:val="24"/>
          <w:szCs w:val="24"/>
        </w:rPr>
        <w:t>i) Health Centre</w:t>
      </w:r>
    </w:p>
    <w:p>
      <w:pPr>
        <w:pStyle w:val="Normal"/>
        <w:jc w:val="both"/>
        <w:rPr>
          <w:rFonts w:ascii="arial" w:hAnsi="arial"/>
        </w:rPr>
      </w:pPr>
      <w:r>
        <w:rPr>
          <w:rFonts w:ascii="arial" w:hAnsi="arial"/>
          <w:sz w:val="24"/>
          <w:szCs w:val="24"/>
        </w:rPr>
        <w:t>ii) University Library.</w:t>
      </w:r>
    </w:p>
    <w:p>
      <w:pPr>
        <w:pStyle w:val="Normal"/>
        <w:jc w:val="both"/>
        <w:rPr>
          <w:rFonts w:ascii="arial" w:hAnsi="arial"/>
        </w:rPr>
      </w:pPr>
      <w:r>
        <w:rPr>
          <w:rFonts w:ascii="arial" w:hAnsi="arial"/>
          <w:sz w:val="24"/>
          <w:szCs w:val="24"/>
        </w:rPr>
        <w:t>iii) Student Affairs Office</w:t>
      </w:r>
    </w:p>
    <w:p>
      <w:pPr>
        <w:pStyle w:val="Normal"/>
        <w:jc w:val="both"/>
        <w:rPr>
          <w:rFonts w:ascii="arial" w:hAnsi="arial"/>
        </w:rPr>
      </w:pPr>
      <w:r>
        <w:rPr>
          <w:rFonts w:ascii="arial" w:hAnsi="arial"/>
          <w:b/>
          <w:sz w:val="24"/>
          <w:szCs w:val="24"/>
        </w:rPr>
        <w:t>1.06</w:t>
        <w:tab/>
        <w:t>CERTIFICATE VERIFICATION</w:t>
      </w:r>
    </w:p>
    <w:p>
      <w:pPr>
        <w:pStyle w:val="Normal"/>
        <w:jc w:val="both"/>
        <w:rPr>
          <w:rFonts w:ascii="arial" w:hAnsi="arial"/>
        </w:rPr>
      </w:pPr>
      <w:r>
        <w:rPr>
          <w:rFonts w:ascii="arial" w:hAnsi="arial"/>
          <w:sz w:val="24"/>
          <w:szCs w:val="24"/>
        </w:rPr>
        <w:t>There shall be verification of certificates and credentials submitted to the University during the period of studentship in the Niger Delta University Students found to have submitted falsified certificates and credentials shall be expelled from the university. The University reserves the right to withdraw any degree/diploma/certificate of any student whose admission into the University is discovered to have been obtained through the presentation of false information at the time of admission.</w:t>
      </w:r>
    </w:p>
    <w:p>
      <w:pPr>
        <w:pStyle w:val="Normal"/>
        <w:jc w:val="both"/>
        <w:rPr>
          <w:rFonts w:ascii="arial" w:hAnsi="arial"/>
          <w:sz w:val="24"/>
          <w:szCs w:val="24"/>
        </w:rPr>
      </w:pPr>
      <w:r>
        <w:rPr>
          <w:rFonts w:ascii="arial" w:hAnsi="arial"/>
          <w:sz w:val="24"/>
          <w:szCs w:val="24"/>
        </w:rPr>
      </w:r>
    </w:p>
    <w:p>
      <w:pPr>
        <w:pStyle w:val="Normal"/>
        <w:jc w:val="both"/>
        <w:rPr>
          <w:rFonts w:ascii="arial" w:hAnsi="arial"/>
        </w:rPr>
      </w:pPr>
      <w:r>
        <w:rPr>
          <w:rFonts w:ascii="arial" w:hAnsi="arial"/>
          <w:b/>
          <w:sz w:val="24"/>
          <w:szCs w:val="24"/>
        </w:rPr>
        <w:t>1.07</w:t>
        <w:tab/>
        <w:t>CHANGE OF NAME</w:t>
      </w:r>
    </w:p>
    <w:p>
      <w:pPr>
        <w:pStyle w:val="Normal"/>
        <w:jc w:val="both"/>
        <w:rPr>
          <w:rFonts w:ascii="arial" w:hAnsi="arial"/>
        </w:rPr>
      </w:pPr>
      <w:r>
        <w:rPr>
          <w:rFonts w:ascii="arial" w:hAnsi="arial"/>
          <w:sz w:val="24"/>
          <w:szCs w:val="24"/>
        </w:rPr>
        <w:t>No male student shall be allowed to change his name from that with which he gained admissions into the Niger Delta University. A female student who marries in the course of her studies in the University would be allowed to change her surname alone, only when she has written to inform the University, with legal evidence including newspaper publication in support of the marriage, to the Vice-Chancellor through her Head of Department. However, students are advised to maintain the names that appear on their JAMB admission letter till they graduate.</w:t>
      </w:r>
    </w:p>
    <w:p>
      <w:pPr>
        <w:pStyle w:val="Normal"/>
        <w:ind w:hanging="720" w:left="720"/>
        <w:jc w:val="both"/>
        <w:rPr>
          <w:rFonts w:ascii="arial" w:hAnsi="arial"/>
        </w:rPr>
      </w:pPr>
      <w:r>
        <w:rPr>
          <w:rFonts w:ascii="arial" w:hAnsi="arial"/>
          <w:b/>
          <w:sz w:val="24"/>
          <w:szCs w:val="24"/>
        </w:rPr>
        <w:t>1.08</w:t>
        <w:tab/>
        <w:t>STUDENTS' PARTICIPATION IN UNIVERSITY PROGRAMMES AND ACTIVITIES</w:t>
      </w:r>
    </w:p>
    <w:p>
      <w:pPr>
        <w:pStyle w:val="Normal"/>
        <w:jc w:val="both"/>
        <w:rPr>
          <w:rFonts w:ascii="arial" w:hAnsi="arial"/>
        </w:rPr>
      </w:pPr>
      <w:r>
        <w:rPr>
          <w:rFonts w:ascii="arial" w:hAnsi="arial"/>
          <w:sz w:val="24"/>
          <w:szCs w:val="24"/>
        </w:rPr>
        <w:t>The Niger Delta University has many students who come from various backgrounds. It would be difficult to operate smoothly without some rules and regulations to guide their behaviour. Law and order must be maintained to create a favourable atmosphere for academic and other activities of the university. It is the responsibility of the University not only to educate students academically but also to guide their personal development into useful citizens; knowledge has meaning only when it enables its possessor to live a full life, which must include behaving responsibly to self and to society.</w:t>
      </w:r>
    </w:p>
    <w:p>
      <w:pPr>
        <w:pStyle w:val="Normal"/>
        <w:jc w:val="both"/>
        <w:rPr>
          <w:rFonts w:ascii="arial" w:hAnsi="arial"/>
        </w:rPr>
      </w:pPr>
      <w:r>
        <w:rPr>
          <w:rFonts w:ascii="arial" w:hAnsi="arial"/>
          <w:sz w:val="24"/>
          <w:szCs w:val="24"/>
        </w:rPr>
        <w:t>1.081 It is therefore important to note that students are expected to take part in the University programme of activities, which in the end would enable them to</w:t>
      </w:r>
    </w:p>
    <w:p>
      <w:pPr>
        <w:pStyle w:val="Normal"/>
        <w:jc w:val="both"/>
        <w:rPr>
          <w:rFonts w:ascii="arial" w:hAnsi="arial"/>
        </w:rPr>
      </w:pPr>
      <w:r>
        <w:rPr>
          <w:rFonts w:ascii="arial" w:hAnsi="arial"/>
          <w:sz w:val="24"/>
          <w:szCs w:val="24"/>
        </w:rPr>
        <w:t>i) Broaden their intellectual capacity:</w:t>
      </w:r>
    </w:p>
    <w:p>
      <w:pPr>
        <w:pStyle w:val="Normal"/>
        <w:jc w:val="both"/>
        <w:rPr>
          <w:rFonts w:ascii="arial" w:hAnsi="arial"/>
        </w:rPr>
      </w:pPr>
      <w:r>
        <w:rPr>
          <w:rFonts w:ascii="arial" w:hAnsi="arial"/>
          <w:sz w:val="24"/>
          <w:szCs w:val="24"/>
        </w:rPr>
        <w:t>ii) Broaden their interests and goals</w:t>
      </w:r>
    </w:p>
    <w:p>
      <w:pPr>
        <w:pStyle w:val="Normal"/>
        <w:jc w:val="both"/>
        <w:rPr>
          <w:rFonts w:ascii="arial" w:hAnsi="arial"/>
        </w:rPr>
      </w:pPr>
      <w:r>
        <w:rPr>
          <w:rFonts w:ascii="arial" w:hAnsi="arial"/>
          <w:sz w:val="24"/>
          <w:szCs w:val="24"/>
        </w:rPr>
        <w:t>iii) Develop individual talents in working with other people;</w:t>
      </w:r>
    </w:p>
    <w:p>
      <w:pPr>
        <w:pStyle w:val="Normal"/>
        <w:jc w:val="both"/>
        <w:rPr>
          <w:rFonts w:ascii="arial" w:hAnsi="arial"/>
        </w:rPr>
      </w:pPr>
      <w:r>
        <w:rPr>
          <w:rFonts w:ascii="arial" w:hAnsi="arial"/>
          <w:sz w:val="24"/>
          <w:szCs w:val="24"/>
        </w:rPr>
        <w:t>iv) Practice skills in organizing and administering group functions;</w:t>
      </w:r>
    </w:p>
    <w:p>
      <w:pPr>
        <w:pStyle w:val="Normal"/>
        <w:jc w:val="both"/>
        <w:rPr>
          <w:rFonts w:ascii="arial" w:hAnsi="arial"/>
        </w:rPr>
      </w:pPr>
      <w:r>
        <w:rPr>
          <w:rFonts w:ascii="arial" w:hAnsi="arial"/>
          <w:sz w:val="24"/>
          <w:szCs w:val="24"/>
        </w:rPr>
        <w:t>v) Learn socially acceptable behaviour through observing rules and interacting with others and</w:t>
      </w:r>
    </w:p>
    <w:p>
      <w:pPr>
        <w:pStyle w:val="Normal"/>
        <w:jc w:val="both"/>
        <w:rPr>
          <w:rFonts w:ascii="arial" w:hAnsi="arial"/>
        </w:rPr>
      </w:pPr>
      <w:r>
        <w:rPr>
          <w:rFonts w:ascii="arial" w:hAnsi="arial"/>
          <w:sz w:val="24"/>
          <w:szCs w:val="24"/>
        </w:rPr>
        <w:t>vi) Be responsible and self disciplined in performing various activities.</w:t>
      </w:r>
    </w:p>
    <w:p>
      <w:pPr>
        <w:pStyle w:val="Normal"/>
        <w:jc w:val="both"/>
        <w:rPr>
          <w:rFonts w:ascii="arial" w:hAnsi="arial"/>
          <w:sz w:val="24"/>
          <w:szCs w:val="24"/>
        </w:rPr>
      </w:pPr>
      <w:r>
        <w:rPr>
          <w:rFonts w:ascii="arial" w:hAnsi="arial"/>
          <w:sz w:val="24"/>
          <w:szCs w:val="24"/>
        </w:rPr>
      </w:r>
    </w:p>
    <w:p>
      <w:pPr>
        <w:pStyle w:val="Normal"/>
        <w:jc w:val="both"/>
        <w:rPr>
          <w:rFonts w:ascii="arial" w:hAnsi="arial"/>
        </w:rPr>
      </w:pPr>
      <w:r>
        <w:rPr>
          <w:rFonts w:ascii="arial" w:hAnsi="arial"/>
          <w:sz w:val="24"/>
          <w:szCs w:val="24"/>
        </w:rPr>
        <w:t>1.082 Every student of the University is required to maintain a high standard of personal discipline by</w:t>
      </w:r>
    </w:p>
    <w:p>
      <w:pPr>
        <w:pStyle w:val="Normal"/>
        <w:jc w:val="both"/>
        <w:rPr>
          <w:rFonts w:ascii="arial" w:hAnsi="arial"/>
        </w:rPr>
      </w:pPr>
      <w:r>
        <w:rPr>
          <w:rFonts w:ascii="arial" w:hAnsi="arial"/>
          <w:sz w:val="24"/>
          <w:szCs w:val="24"/>
        </w:rPr>
        <w:t>i) Conducting himself/herself in an orderly manner and displaying a high sense of responsibility both within and outside the University premises;</w:t>
      </w:r>
    </w:p>
    <w:p>
      <w:pPr>
        <w:pStyle w:val="Normal"/>
        <w:jc w:val="both"/>
        <w:rPr>
          <w:rFonts w:ascii="arial" w:hAnsi="arial"/>
        </w:rPr>
      </w:pPr>
      <w:r>
        <w:rPr>
          <w:rFonts w:ascii="arial" w:hAnsi="arial"/>
          <w:sz w:val="24"/>
          <w:szCs w:val="24"/>
        </w:rPr>
        <w:t>ii) Maintaining personal cleanliness and being decently dressed as required by the dress code of the University;</w:t>
      </w:r>
    </w:p>
    <w:p>
      <w:pPr>
        <w:pStyle w:val="Normal"/>
        <w:jc w:val="both"/>
        <w:rPr>
          <w:rFonts w:ascii="arial" w:hAnsi="arial"/>
        </w:rPr>
      </w:pPr>
      <w:r>
        <w:rPr>
          <w:rFonts w:ascii="arial" w:hAnsi="arial"/>
          <w:sz w:val="24"/>
          <w:szCs w:val="24"/>
        </w:rPr>
        <w:t>iii) Cooperating with other students and staff to keep walls, grounds and the general University premises clean at all times;</w:t>
      </w:r>
    </w:p>
    <w:p>
      <w:pPr>
        <w:pStyle w:val="Normal"/>
        <w:jc w:val="both"/>
        <w:rPr>
          <w:rFonts w:ascii="arial" w:hAnsi="arial"/>
        </w:rPr>
      </w:pPr>
      <w:r>
        <w:rPr>
          <w:rFonts w:ascii="arial" w:hAnsi="arial"/>
          <w:sz w:val="24"/>
          <w:szCs w:val="24"/>
        </w:rPr>
        <w:t>iv) Avoiding posting notices on the walls and unauthorised places and</w:t>
      </w:r>
    </w:p>
    <w:p>
      <w:pPr>
        <w:pStyle w:val="Normal"/>
        <w:jc w:val="both"/>
        <w:rPr>
          <w:rFonts w:ascii="arial" w:hAnsi="arial"/>
        </w:rPr>
      </w:pPr>
      <w:r>
        <w:rPr>
          <w:rFonts w:ascii="arial" w:hAnsi="arial"/>
          <w:sz w:val="24"/>
          <w:szCs w:val="24"/>
        </w:rPr>
        <w:t>vi) Desisting from or guarding against reckless driving in the premises of the University.</w:t>
      </w:r>
    </w:p>
    <w:p>
      <w:pPr>
        <w:pStyle w:val="Normal"/>
        <w:jc w:val="both"/>
        <w:rPr>
          <w:rFonts w:ascii="arial" w:hAnsi="arial"/>
        </w:rPr>
      </w:pPr>
      <w:r>
        <w:rPr>
          <w:rFonts w:ascii="arial" w:hAnsi="arial"/>
          <w:sz w:val="24"/>
          <w:szCs w:val="24"/>
        </w:rPr>
        <w:t>1.083 Although the legitimate expression of differing opinions and beliefs is an essential part of an academic community, the University shall not tolerate the imposition of opinions and beliefs by one group of students upon others.</w:t>
      </w:r>
    </w:p>
    <w:p>
      <w:pPr>
        <w:pStyle w:val="Normal"/>
        <w:jc w:val="both"/>
        <w:rPr>
          <w:rFonts w:ascii="arial" w:hAnsi="arial"/>
        </w:rPr>
      </w:pPr>
      <w:r>
        <w:rPr>
          <w:rFonts w:ascii="arial" w:hAnsi="arial"/>
          <w:sz w:val="24"/>
          <w:szCs w:val="24"/>
        </w:rPr>
        <w:t>1.084 It is emphasised that all members of the University community, including the students, are, like other citizens subject to the laws of our country whether within or outside the University premises. In cases where the laws takes its course, the University shall, if deemed necessary, take interim disciplinary action on erring students pending the final determination of the case. Students are therefore, expected to learn to cope with their problems intelligently, reasonably and with a sense of understanding and consideration for the rights of others. Consequently, each member of the University community should recognise and respect the rights and privileges of others.</w:t>
      </w:r>
    </w:p>
    <w:p>
      <w:pPr>
        <w:pStyle w:val="Normal"/>
        <w:jc w:val="both"/>
        <w:rPr>
          <w:rFonts w:ascii="arial" w:hAnsi="arial"/>
        </w:rPr>
      </w:pPr>
      <w:r>
        <w:rPr>
          <w:rFonts w:ascii="arial" w:hAnsi="arial"/>
          <w:sz w:val="24"/>
          <w:szCs w:val="24"/>
        </w:rPr>
        <w:t>1.085 Students are to respect the privacy and comfort of their fellow students, and should not smoke in classrooms, lecture theatres, halls, laboratories, libraries, or the University Auditorium. Students must avoid writing on University furniture and on walls within and around the University. All students are expected to show courtesy and respect the members of staff and University guests and are to treat their colleagues with respect.</w:t>
      </w:r>
    </w:p>
    <w:p>
      <w:pPr>
        <w:pStyle w:val="Normal"/>
        <w:jc w:val="both"/>
        <w:rPr>
          <w:rFonts w:ascii="arial" w:hAnsi="arial"/>
        </w:rPr>
      </w:pPr>
      <w:r>
        <w:rPr>
          <w:rFonts w:ascii="arial" w:hAnsi="arial"/>
          <w:b/>
          <w:sz w:val="24"/>
          <w:szCs w:val="24"/>
        </w:rPr>
        <w:t>1.09</w:t>
        <w:tab/>
        <w:t>DISCIPLINE</w:t>
      </w:r>
    </w:p>
    <w:p>
      <w:pPr>
        <w:pStyle w:val="Normal"/>
        <w:jc w:val="both"/>
        <w:rPr>
          <w:rFonts w:ascii="arial" w:hAnsi="arial"/>
        </w:rPr>
      </w:pPr>
      <w:r>
        <w:rPr>
          <w:rFonts w:ascii="arial" w:hAnsi="arial"/>
          <w:sz w:val="24"/>
          <w:szCs w:val="24"/>
        </w:rPr>
        <w:t>The Department shall, upon evidence of a student's failure to abide by the University's rules, regulations and code of conduct, take appropriate disciplinary measures against such an offender. Where a serious act of misconduct and/or indiscipline is involved, the matter shall be referred to the appropriate Disciplinary Committee for investigation and proper disciplinary action where necessary.</w:t>
      </w:r>
    </w:p>
    <w:p>
      <w:pPr>
        <w:pStyle w:val="Normal"/>
        <w:jc w:val="both"/>
        <w:rPr>
          <w:rFonts w:ascii="arial" w:hAnsi="arial"/>
        </w:rPr>
      </w:pPr>
      <w:r>
        <w:rPr>
          <w:rFonts w:ascii="arial" w:hAnsi="arial"/>
          <w:b/>
          <w:sz w:val="24"/>
          <w:szCs w:val="24"/>
        </w:rPr>
        <w:t>1.10</w:t>
        <w:tab/>
        <w:t>DEFERMENT OF ADMISSION</w:t>
      </w:r>
    </w:p>
    <w:p>
      <w:pPr>
        <w:pStyle w:val="Normal"/>
        <w:jc w:val="both"/>
        <w:rPr>
          <w:rFonts w:ascii="arial" w:hAnsi="arial"/>
        </w:rPr>
      </w:pPr>
      <w:r>
        <w:rPr>
          <w:rFonts w:ascii="arial" w:hAnsi="arial"/>
          <w:sz w:val="24"/>
          <w:szCs w:val="24"/>
        </w:rPr>
        <w:t>A fresh student may apply to senate through the Registrar for deferment of Admission before matriculation. Application for the deferment of admission is subject to the approval of Senate. Deferment shall be valid for only one academic year and the prevailing charges must be paid in order to commence the course of study in the case of any increases in fees/charges.</w:t>
      </w:r>
    </w:p>
    <w:p>
      <w:pPr>
        <w:pStyle w:val="Normal"/>
        <w:jc w:val="both"/>
        <w:rPr>
          <w:rFonts w:ascii="arial" w:hAnsi="arial"/>
        </w:rPr>
      </w:pPr>
      <w:r>
        <w:rPr>
          <w:rFonts w:ascii="arial" w:hAnsi="arial"/>
          <w:b/>
          <w:sz w:val="24"/>
          <w:szCs w:val="24"/>
        </w:rPr>
        <w:t>1.11</w:t>
      </w:r>
    </w:p>
    <w:p>
      <w:pPr>
        <w:pStyle w:val="Normal"/>
        <w:jc w:val="both"/>
        <w:rPr>
          <w:rFonts w:ascii="arial" w:hAnsi="arial"/>
        </w:rPr>
      </w:pPr>
      <w:r>
        <w:rPr>
          <w:rFonts w:ascii="arial" w:hAnsi="arial"/>
          <w:sz w:val="24"/>
          <w:szCs w:val="24"/>
        </w:rPr>
        <w:t>All students should note that:</w:t>
      </w:r>
    </w:p>
    <w:p>
      <w:pPr>
        <w:pStyle w:val="Normal"/>
        <w:jc w:val="both"/>
        <w:rPr>
          <w:rFonts w:ascii="arial" w:hAnsi="arial"/>
        </w:rPr>
      </w:pPr>
      <w:r>
        <w:rPr>
          <w:rFonts w:ascii="arial" w:hAnsi="arial"/>
          <w:sz w:val="24"/>
          <w:szCs w:val="24"/>
        </w:rPr>
        <w:t>i) Degrees are awarded on the basis of character and learning.</w:t>
      </w:r>
    </w:p>
    <w:p>
      <w:pPr>
        <w:pStyle w:val="Normal"/>
        <w:jc w:val="both"/>
        <w:rPr>
          <w:rFonts w:ascii="arial" w:hAnsi="arial"/>
        </w:rPr>
      </w:pPr>
      <w:r>
        <w:rPr>
          <w:rFonts w:ascii="arial" w:hAnsi="arial"/>
          <w:sz w:val="24"/>
          <w:szCs w:val="24"/>
        </w:rPr>
        <w:t>ii) The University has the reserved right to withdraw the degree even after graduation if he/she is found wanting.</w:t>
      </w:r>
    </w:p>
    <w:p>
      <w:pPr>
        <w:pStyle w:val="Normal"/>
        <w:jc w:val="both"/>
        <w:rPr>
          <w:rFonts w:ascii="arial" w:hAnsi="arial"/>
        </w:rPr>
      </w:pPr>
      <w:r>
        <w:rPr>
          <w:rFonts w:ascii="arial" w:hAnsi="arial"/>
          <w:b/>
          <w:sz w:val="24"/>
          <w:szCs w:val="24"/>
        </w:rPr>
        <w:t>1.12</w:t>
        <w:tab/>
        <w:t>ACADEMIC CEREMONIES</w:t>
      </w:r>
    </w:p>
    <w:p>
      <w:pPr>
        <w:pStyle w:val="Normal"/>
        <w:jc w:val="both"/>
        <w:rPr>
          <w:rFonts w:ascii="arial" w:hAnsi="arial"/>
        </w:rPr>
      </w:pPr>
      <w:r>
        <w:rPr>
          <w:rFonts w:ascii="arial" w:hAnsi="arial"/>
          <w:sz w:val="24"/>
          <w:szCs w:val="24"/>
        </w:rPr>
        <w:t>1.121</w:t>
        <w:tab/>
        <w:t>Matriculation</w:t>
      </w:r>
    </w:p>
    <w:p>
      <w:pPr>
        <w:pStyle w:val="Normal"/>
        <w:jc w:val="both"/>
        <w:rPr>
          <w:rFonts w:ascii="arial" w:hAnsi="arial"/>
        </w:rPr>
      </w:pPr>
      <w:r>
        <w:rPr>
          <w:rFonts w:ascii="arial" w:hAnsi="arial"/>
          <w:sz w:val="24"/>
          <w:szCs w:val="24"/>
        </w:rPr>
        <w:t>The University has, as one of its programme of activities, the matriculation of students. During matriculation, only duly registered students shall be formally admitted as members of the University with a pledge of loyalty to the ideals of the University.</w:t>
      </w:r>
    </w:p>
    <w:p>
      <w:pPr>
        <w:pStyle w:val="Normal"/>
        <w:jc w:val="both"/>
        <w:rPr>
          <w:rFonts w:ascii="arial" w:hAnsi="arial"/>
        </w:rPr>
      </w:pPr>
      <w:r>
        <w:rPr>
          <w:rFonts w:ascii="arial" w:hAnsi="arial"/>
          <w:sz w:val="24"/>
          <w:szCs w:val="24"/>
        </w:rPr>
        <w:t>1.122</w:t>
        <w:tab/>
        <w:t>Convocation</w:t>
      </w:r>
    </w:p>
    <w:p>
      <w:pPr>
        <w:pStyle w:val="Normal"/>
        <w:jc w:val="both"/>
        <w:rPr>
          <w:rFonts w:ascii="arial" w:hAnsi="arial"/>
        </w:rPr>
      </w:pPr>
      <w:r>
        <w:rPr>
          <w:rFonts w:ascii="arial" w:hAnsi="arial"/>
          <w:sz w:val="24"/>
          <w:szCs w:val="24"/>
        </w:rPr>
        <w:t>The University shall also have a convocation ceremony during which conferment of degrees, diplomas, certificates, awards and honours shall be made as approved by Senate.</w:t>
      </w:r>
    </w:p>
    <w:p>
      <w:pPr>
        <w:pStyle w:val="Normal"/>
        <w:jc w:val="both"/>
        <w:rPr>
          <w:rFonts w:ascii="arial" w:hAnsi="arial"/>
        </w:rPr>
      </w:pPr>
      <w:r>
        <w:rPr>
          <w:rFonts w:ascii="arial" w:hAnsi="arial"/>
          <w:b/>
          <w:sz w:val="24"/>
          <w:szCs w:val="24"/>
        </w:rPr>
        <w:t>1.13</w:t>
        <w:tab/>
        <w:t>CHANGE OF PROGRAMME OF STUDY</w:t>
      </w:r>
    </w:p>
    <w:p>
      <w:pPr>
        <w:pStyle w:val="Normal"/>
        <w:jc w:val="both"/>
        <w:rPr>
          <w:rFonts w:ascii="arial" w:hAnsi="arial"/>
        </w:rPr>
      </w:pPr>
      <w:r>
        <w:rPr>
          <w:rFonts w:ascii="arial" w:hAnsi="arial"/>
          <w:sz w:val="24"/>
          <w:szCs w:val="24"/>
        </w:rPr>
        <w:t>Any student who desires to change his/her programme of study may be permitted to do so under the following conditions:</w:t>
      </w:r>
    </w:p>
    <w:p>
      <w:pPr>
        <w:pStyle w:val="Normal"/>
        <w:jc w:val="both"/>
        <w:rPr>
          <w:rFonts w:ascii="arial" w:hAnsi="arial"/>
        </w:rPr>
      </w:pPr>
      <w:r>
        <w:rPr>
          <w:rFonts w:ascii="arial" w:hAnsi="arial"/>
          <w:sz w:val="24"/>
          <w:szCs w:val="24"/>
        </w:rPr>
        <w:t>i) A vacancy exists in the course of study into which he/she seeks a change;</w:t>
      </w:r>
    </w:p>
    <w:p>
      <w:pPr>
        <w:pStyle w:val="Normal"/>
        <w:jc w:val="both"/>
        <w:rPr>
          <w:rFonts w:ascii="arial" w:hAnsi="arial"/>
        </w:rPr>
      </w:pPr>
      <w:r>
        <w:rPr>
          <w:rFonts w:ascii="arial" w:hAnsi="arial"/>
          <w:sz w:val="24"/>
          <w:szCs w:val="24"/>
        </w:rPr>
        <w:t>ii) He/she satisfies all entry requirements for admission for the programme for which change is sought;</w:t>
      </w:r>
    </w:p>
    <w:p>
      <w:pPr>
        <w:pStyle w:val="Normal"/>
        <w:jc w:val="both"/>
        <w:rPr>
          <w:rFonts w:ascii="arial" w:hAnsi="arial"/>
        </w:rPr>
      </w:pPr>
      <w:r>
        <w:rPr>
          <w:rFonts w:ascii="arial" w:hAnsi="arial"/>
          <w:sz w:val="24"/>
          <w:szCs w:val="24"/>
        </w:rPr>
        <w:t>iii) Such change of course of study shall be subject to approval by the Senate.</w:t>
      </w:r>
    </w:p>
    <w:p>
      <w:pPr>
        <w:pStyle w:val="Normal"/>
        <w:jc w:val="both"/>
        <w:rPr>
          <w:rFonts w:ascii="arial" w:hAnsi="arial"/>
        </w:rPr>
      </w:pPr>
      <w:r>
        <w:rPr>
          <w:rFonts w:ascii="arial" w:hAnsi="arial"/>
          <w:b/>
          <w:sz w:val="24"/>
          <w:szCs w:val="24"/>
        </w:rPr>
        <w:t>1.14</w:t>
        <w:tab/>
        <w:t>STUDENTS CLASS ATTENDANCE</w:t>
      </w:r>
    </w:p>
    <w:p>
      <w:pPr>
        <w:pStyle w:val="Normal"/>
        <w:jc w:val="both"/>
        <w:rPr>
          <w:rFonts w:ascii="arial" w:hAnsi="arial"/>
        </w:rPr>
      </w:pPr>
      <w:r>
        <w:rPr>
          <w:rFonts w:ascii="arial" w:hAnsi="arial"/>
          <w:sz w:val="24"/>
          <w:szCs w:val="24"/>
        </w:rPr>
        <w:t>Attendance at lectures, tutorials, studio, laboratory workshop and practical sessions, etc is compulsory and shall attract 5% of the total continuous assessment score. Every student is required to meet a minimum of 75% class attendance in order to qualify to write examination in a given course.</w:t>
      </w:r>
    </w:p>
    <w:p>
      <w:pPr>
        <w:pStyle w:val="Normal"/>
        <w:jc w:val="both"/>
        <w:rPr>
          <w:rFonts w:ascii="arial" w:hAnsi="arial"/>
        </w:rPr>
      </w:pPr>
      <w:r>
        <w:rPr>
          <w:rFonts w:ascii="arial" w:hAnsi="arial"/>
          <w:b/>
          <w:sz w:val="24"/>
          <w:szCs w:val="24"/>
        </w:rPr>
        <w:t>1.15</w:t>
        <w:tab/>
        <w:t>GRIEVANCES AND COMPLAINTS OF STUDENTS</w:t>
      </w:r>
    </w:p>
    <w:p>
      <w:pPr>
        <w:pStyle w:val="Normal"/>
        <w:jc w:val="both"/>
        <w:rPr>
          <w:rFonts w:ascii="arial" w:hAnsi="arial"/>
        </w:rPr>
      </w:pPr>
      <w:r>
        <w:rPr>
          <w:rFonts w:ascii="arial" w:hAnsi="arial"/>
          <w:sz w:val="24"/>
          <w:szCs w:val="24"/>
        </w:rPr>
        <w:t>Students who are have any grievance shall report to the head of department, preferably in writing, who shall ?????</w:t>
      </w:r>
    </w:p>
    <w:p>
      <w:pPr>
        <w:pStyle w:val="Normal"/>
        <w:jc w:val="both"/>
        <w:rPr>
          <w:rFonts w:ascii="arial" w:hAnsi="arial"/>
          <w:sz w:val="24"/>
          <w:szCs w:val="24"/>
        </w:rPr>
      </w:pPr>
      <w:r>
        <w:rPr>
          <w:rFonts w:ascii="arial" w:hAnsi="arial"/>
          <w:sz w:val="24"/>
          <w:szCs w:val="24"/>
        </w:rPr>
      </w:r>
    </w:p>
    <w:p>
      <w:pPr>
        <w:pStyle w:val="Normal"/>
        <w:ind w:hanging="720" w:left="720"/>
        <w:jc w:val="both"/>
        <w:rPr>
          <w:rFonts w:ascii="arial" w:hAnsi="arial"/>
        </w:rPr>
      </w:pPr>
      <w:r>
        <w:rPr>
          <w:rFonts w:ascii="arial" w:hAnsi="arial"/>
          <w:b/>
          <w:sz w:val="24"/>
          <w:szCs w:val="24"/>
        </w:rPr>
        <w:t>2.</w:t>
        <w:tab/>
        <w:t>ACADEMIC REGULATIONS</w:t>
      </w:r>
    </w:p>
    <w:p>
      <w:pPr>
        <w:pStyle w:val="ListParagraph"/>
        <w:jc w:val="both"/>
        <w:rPr>
          <w:rFonts w:ascii="arial" w:hAnsi="arial"/>
          <w:b/>
          <w:sz w:val="24"/>
          <w:szCs w:val="24"/>
        </w:rPr>
      </w:pPr>
      <w:r>
        <w:rPr>
          <w:rFonts w:ascii="arial" w:hAnsi="arial"/>
          <w:b/>
          <w:sz w:val="24"/>
          <w:szCs w:val="24"/>
        </w:rPr>
      </w:r>
    </w:p>
    <w:p>
      <w:pPr>
        <w:pStyle w:val="ListParagraph"/>
        <w:ind w:hanging="720" w:left="720"/>
        <w:jc w:val="both"/>
        <w:rPr>
          <w:rFonts w:ascii="arial" w:hAnsi="arial"/>
        </w:rPr>
      </w:pPr>
      <w:r>
        <w:rPr>
          <w:rFonts w:ascii="arial" w:hAnsi="arial"/>
          <w:b/>
          <w:sz w:val="24"/>
          <w:szCs w:val="24"/>
        </w:rPr>
        <w:t>2.01</w:t>
        <w:tab/>
        <w:t>CONTINOUS ASSESSMENT (CA)</w:t>
      </w:r>
    </w:p>
    <w:p>
      <w:pPr>
        <w:pStyle w:val="ListParagraph"/>
        <w:ind w:left="426"/>
        <w:jc w:val="both"/>
        <w:rPr>
          <w:rFonts w:ascii="arial" w:hAnsi="arial"/>
        </w:rPr>
      </w:pPr>
      <w:r>
        <w:rPr>
          <w:rFonts w:ascii="arial" w:hAnsi="arial"/>
          <w:sz w:val="24"/>
          <w:szCs w:val="24"/>
        </w:rPr>
        <w:t>Assessment of students’ academic performance shall be continuous, which must include class attendance, participation in class activities, completion of assignments and term papers etc. The total score for CA must not be more than 30% in a grading system of 100%.</w:t>
      </w:r>
    </w:p>
    <w:p>
      <w:pPr>
        <w:pStyle w:val="ListParagraph"/>
        <w:ind w:left="426"/>
        <w:jc w:val="both"/>
        <w:rPr>
          <w:rFonts w:ascii="arial" w:hAnsi="arial"/>
          <w:b/>
          <w:sz w:val="24"/>
          <w:szCs w:val="24"/>
        </w:rPr>
      </w:pPr>
      <w:r>
        <w:rPr>
          <w:rFonts w:ascii="arial" w:hAnsi="arial"/>
          <w:b/>
          <w:sz w:val="24"/>
          <w:szCs w:val="24"/>
        </w:rPr>
      </w:r>
    </w:p>
    <w:p>
      <w:pPr>
        <w:pStyle w:val="ListParagraph"/>
        <w:numPr>
          <w:ilvl w:val="1"/>
          <w:numId w:val="6"/>
        </w:numPr>
        <w:ind w:hanging="720" w:left="720"/>
        <w:jc w:val="both"/>
        <w:rPr>
          <w:rFonts w:ascii="arial" w:hAnsi="arial"/>
        </w:rPr>
      </w:pPr>
      <w:r>
        <w:rPr>
          <w:rFonts w:ascii="arial" w:hAnsi="arial"/>
          <w:b/>
          <w:sz w:val="24"/>
          <w:szCs w:val="24"/>
        </w:rPr>
        <w:t>EXAMINATION</w:t>
      </w:r>
    </w:p>
    <w:p>
      <w:pPr>
        <w:pStyle w:val="ListParagraph"/>
        <w:ind w:left="426"/>
        <w:jc w:val="both"/>
        <w:rPr>
          <w:rFonts w:ascii="arial" w:hAnsi="arial"/>
        </w:rPr>
      </w:pPr>
      <w:r>
        <w:rPr>
          <w:rFonts w:ascii="arial" w:hAnsi="arial"/>
          <w:sz w:val="24"/>
          <w:szCs w:val="24"/>
        </w:rPr>
        <w:t xml:space="preserve"> </w:t>
      </w:r>
      <w:r>
        <w:rPr>
          <w:rFonts w:ascii="arial" w:hAnsi="arial"/>
          <w:sz w:val="24"/>
          <w:szCs w:val="24"/>
        </w:rPr>
        <w:t>Examination for each course is usually done at the end of each academic semester in which the course is offered. Semester examinations shall form not less 70% of the total grade.</w:t>
      </w:r>
    </w:p>
    <w:p>
      <w:pPr>
        <w:pStyle w:val="ListParagraph"/>
        <w:ind w:left="426"/>
        <w:jc w:val="both"/>
        <w:rPr>
          <w:rFonts w:ascii="arial" w:hAnsi="arial"/>
          <w:sz w:val="24"/>
          <w:szCs w:val="24"/>
        </w:rPr>
      </w:pPr>
      <w:r>
        <w:rPr>
          <w:rFonts w:ascii="arial" w:hAnsi="arial"/>
          <w:sz w:val="24"/>
          <w:szCs w:val="24"/>
        </w:rPr>
      </w:r>
    </w:p>
    <w:p>
      <w:pPr>
        <w:pStyle w:val="ListParagraph"/>
        <w:ind w:hanging="720" w:left="720"/>
        <w:jc w:val="both"/>
        <w:rPr>
          <w:rFonts w:ascii="arial" w:hAnsi="arial"/>
        </w:rPr>
      </w:pPr>
      <w:r>
        <w:rPr>
          <w:rFonts w:ascii="arial" w:hAnsi="arial"/>
          <w:b/>
          <w:sz w:val="24"/>
          <w:szCs w:val="24"/>
        </w:rPr>
        <w:t>2.03</w:t>
        <w:tab/>
        <w:t>GRADING SYSTEM</w:t>
      </w:r>
    </w:p>
    <w:p>
      <w:pPr>
        <w:pStyle w:val="ListParagraph"/>
        <w:ind w:left="426"/>
        <w:jc w:val="both"/>
        <w:rPr>
          <w:rFonts w:ascii="arial" w:hAnsi="arial"/>
        </w:rPr>
      </w:pPr>
      <w:r>
        <w:rPr>
          <w:rFonts w:ascii="arial" w:hAnsi="arial"/>
          <w:sz w:val="24"/>
          <w:szCs w:val="24"/>
        </w:rPr>
        <w:t>Assessment in all courses shall be based on the following Grading System</w:t>
      </w:r>
    </w:p>
    <w:tbl>
      <w:tblPr>
        <w:tblStyle w:val="TableGrid"/>
        <w:tblW w:w="5329" w:type="dxa"/>
        <w:jc w:val="left"/>
        <w:tblInd w:w="425" w:type="dxa"/>
        <w:tblLayout w:type="fixed"/>
        <w:tblCellMar>
          <w:top w:w="0" w:type="dxa"/>
          <w:left w:w="108" w:type="dxa"/>
          <w:bottom w:w="0" w:type="dxa"/>
          <w:right w:w="108" w:type="dxa"/>
        </w:tblCellMar>
        <w:tblLook w:noHBand="0" w:noVBand="1" w:firstColumn="1" w:lastRow="0" w:lastColumn="0" w:firstRow="1" w:val="04a0"/>
      </w:tblPr>
      <w:tblGrid>
        <w:gridCol w:w="1363"/>
        <w:gridCol w:w="2083"/>
        <w:gridCol w:w="1883"/>
      </w:tblGrid>
      <w:tr>
        <w:trPr/>
        <w:tc>
          <w:tcPr>
            <w:tcW w:w="1363" w:type="dxa"/>
            <w:tcBorders/>
          </w:tcPr>
          <w:p>
            <w:pPr>
              <w:pStyle w:val="ListParagraph"/>
              <w:widowControl/>
              <w:suppressAutoHyphens w:val="true"/>
              <w:spacing w:before="0" w:after="200"/>
              <w:ind w:left="0"/>
              <w:contextualSpacing/>
              <w:jc w:val="both"/>
              <w:rPr>
                <w:rFonts w:ascii="arial" w:hAnsi="arial"/>
              </w:rPr>
            </w:pPr>
            <w:r>
              <w:rPr>
                <w:rFonts w:cs="" w:ascii="arial" w:hAnsi="arial"/>
                <w:b/>
                <w:kern w:val="0"/>
                <w:sz w:val="24"/>
                <w:szCs w:val="24"/>
                <w:lang w:eastAsia="en-US" w:bidi="ar-SA"/>
              </w:rPr>
              <w:t>MARKING</w:t>
            </w:r>
          </w:p>
        </w:tc>
        <w:tc>
          <w:tcPr>
            <w:tcW w:w="2083" w:type="dxa"/>
            <w:tcBorders/>
          </w:tcPr>
          <w:p>
            <w:pPr>
              <w:pStyle w:val="ListParagraph"/>
              <w:widowControl/>
              <w:suppressAutoHyphens w:val="true"/>
              <w:spacing w:before="0" w:after="200"/>
              <w:ind w:left="0"/>
              <w:contextualSpacing/>
              <w:jc w:val="both"/>
              <w:rPr>
                <w:rFonts w:ascii="arial" w:hAnsi="arial"/>
              </w:rPr>
            </w:pPr>
            <w:r>
              <w:rPr>
                <w:rFonts w:cs="" w:ascii="arial" w:hAnsi="arial"/>
                <w:b/>
                <w:kern w:val="0"/>
                <w:sz w:val="24"/>
                <w:szCs w:val="24"/>
                <w:lang w:eastAsia="en-US" w:bidi="ar-SA"/>
              </w:rPr>
              <w:t>LETTER GRADE</w:t>
            </w:r>
          </w:p>
        </w:tc>
        <w:tc>
          <w:tcPr>
            <w:tcW w:w="1883" w:type="dxa"/>
            <w:tcBorders/>
          </w:tcPr>
          <w:p>
            <w:pPr>
              <w:pStyle w:val="ListParagraph"/>
              <w:widowControl/>
              <w:suppressAutoHyphens w:val="true"/>
              <w:spacing w:before="0" w:after="200"/>
              <w:ind w:left="0"/>
              <w:contextualSpacing/>
              <w:jc w:val="both"/>
              <w:rPr>
                <w:rFonts w:ascii="arial" w:hAnsi="arial"/>
              </w:rPr>
            </w:pPr>
            <w:r>
              <w:rPr>
                <w:rFonts w:cs="" w:ascii="arial" w:hAnsi="arial"/>
                <w:b/>
                <w:kern w:val="0"/>
                <w:sz w:val="24"/>
                <w:szCs w:val="24"/>
                <w:lang w:eastAsia="en-US" w:bidi="ar-SA"/>
              </w:rPr>
              <w:t>GRADE POINT</w:t>
            </w:r>
          </w:p>
        </w:tc>
      </w:tr>
      <w:tr>
        <w:trPr/>
        <w:tc>
          <w:tcPr>
            <w:tcW w:w="1363"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70-100</w:t>
            </w:r>
          </w:p>
        </w:tc>
        <w:tc>
          <w:tcPr>
            <w:tcW w:w="2083" w:type="dxa"/>
            <w:tcBorders/>
          </w:tcPr>
          <w:p>
            <w:pPr>
              <w:pStyle w:val="ListParagraph"/>
              <w:widowControl/>
              <w:suppressAutoHyphens w:val="true"/>
              <w:spacing w:before="0" w:after="200"/>
              <w:ind w:left="0"/>
              <w:contextualSpacing/>
              <w:jc w:val="center"/>
              <w:rPr>
                <w:rFonts w:ascii="arial" w:hAnsi="arial"/>
              </w:rPr>
            </w:pPr>
            <w:r>
              <w:rPr>
                <w:rFonts w:cs="" w:ascii="arial" w:hAnsi="arial"/>
                <w:kern w:val="0"/>
                <w:sz w:val="24"/>
                <w:szCs w:val="24"/>
                <w:lang w:eastAsia="en-US" w:bidi="ar-SA"/>
              </w:rPr>
              <w:t>A</w:t>
            </w:r>
          </w:p>
        </w:tc>
        <w:tc>
          <w:tcPr>
            <w:tcW w:w="1883"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5</w:t>
            </w:r>
          </w:p>
        </w:tc>
      </w:tr>
      <w:tr>
        <w:trPr/>
        <w:tc>
          <w:tcPr>
            <w:tcW w:w="1363"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60-69</w:t>
            </w:r>
          </w:p>
        </w:tc>
        <w:tc>
          <w:tcPr>
            <w:tcW w:w="2083" w:type="dxa"/>
            <w:tcBorders/>
          </w:tcPr>
          <w:p>
            <w:pPr>
              <w:pStyle w:val="ListParagraph"/>
              <w:widowControl/>
              <w:suppressAutoHyphens w:val="true"/>
              <w:spacing w:before="0" w:after="200"/>
              <w:ind w:left="0"/>
              <w:contextualSpacing/>
              <w:jc w:val="center"/>
              <w:rPr>
                <w:rFonts w:ascii="arial" w:hAnsi="arial"/>
              </w:rPr>
            </w:pPr>
            <w:r>
              <w:rPr>
                <w:rFonts w:cs="" w:ascii="arial" w:hAnsi="arial"/>
                <w:kern w:val="0"/>
                <w:sz w:val="24"/>
                <w:szCs w:val="24"/>
                <w:lang w:eastAsia="en-US" w:bidi="ar-SA"/>
              </w:rPr>
              <w:t>B</w:t>
            </w:r>
          </w:p>
        </w:tc>
        <w:tc>
          <w:tcPr>
            <w:tcW w:w="1883"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4</w:t>
            </w:r>
          </w:p>
        </w:tc>
      </w:tr>
      <w:tr>
        <w:trPr/>
        <w:tc>
          <w:tcPr>
            <w:tcW w:w="1363"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50-59</w:t>
            </w:r>
          </w:p>
        </w:tc>
        <w:tc>
          <w:tcPr>
            <w:tcW w:w="2083" w:type="dxa"/>
            <w:tcBorders/>
          </w:tcPr>
          <w:p>
            <w:pPr>
              <w:pStyle w:val="ListParagraph"/>
              <w:widowControl/>
              <w:suppressAutoHyphens w:val="true"/>
              <w:spacing w:before="0" w:after="200"/>
              <w:ind w:left="0"/>
              <w:contextualSpacing/>
              <w:jc w:val="center"/>
              <w:rPr>
                <w:rFonts w:ascii="arial" w:hAnsi="arial"/>
              </w:rPr>
            </w:pPr>
            <w:r>
              <w:rPr>
                <w:rFonts w:cs="" w:ascii="arial" w:hAnsi="arial"/>
                <w:kern w:val="0"/>
                <w:sz w:val="24"/>
                <w:szCs w:val="24"/>
                <w:lang w:eastAsia="en-US" w:bidi="ar-SA"/>
              </w:rPr>
              <w:t>C</w:t>
            </w:r>
          </w:p>
        </w:tc>
        <w:tc>
          <w:tcPr>
            <w:tcW w:w="1883"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3</w:t>
            </w:r>
          </w:p>
        </w:tc>
      </w:tr>
      <w:tr>
        <w:trPr/>
        <w:tc>
          <w:tcPr>
            <w:tcW w:w="1363"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45-49</w:t>
            </w:r>
          </w:p>
        </w:tc>
        <w:tc>
          <w:tcPr>
            <w:tcW w:w="2083" w:type="dxa"/>
            <w:tcBorders/>
          </w:tcPr>
          <w:p>
            <w:pPr>
              <w:pStyle w:val="ListParagraph"/>
              <w:widowControl/>
              <w:suppressAutoHyphens w:val="true"/>
              <w:spacing w:before="0" w:after="200"/>
              <w:ind w:left="0"/>
              <w:contextualSpacing/>
              <w:jc w:val="center"/>
              <w:rPr>
                <w:rFonts w:ascii="arial" w:hAnsi="arial"/>
              </w:rPr>
            </w:pPr>
            <w:r>
              <w:rPr>
                <w:rFonts w:cs="" w:ascii="arial" w:hAnsi="arial"/>
                <w:kern w:val="0"/>
                <w:sz w:val="24"/>
                <w:szCs w:val="24"/>
                <w:lang w:eastAsia="en-US" w:bidi="ar-SA"/>
              </w:rPr>
              <w:t>D</w:t>
            </w:r>
          </w:p>
        </w:tc>
        <w:tc>
          <w:tcPr>
            <w:tcW w:w="1883"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2</w:t>
            </w:r>
          </w:p>
        </w:tc>
      </w:tr>
      <w:tr>
        <w:trPr/>
        <w:tc>
          <w:tcPr>
            <w:tcW w:w="1363"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0-44</w:t>
            </w:r>
          </w:p>
        </w:tc>
        <w:tc>
          <w:tcPr>
            <w:tcW w:w="2083" w:type="dxa"/>
            <w:tcBorders/>
          </w:tcPr>
          <w:p>
            <w:pPr>
              <w:pStyle w:val="ListParagraph"/>
              <w:widowControl/>
              <w:suppressAutoHyphens w:val="true"/>
              <w:spacing w:before="0" w:after="200"/>
              <w:ind w:left="0"/>
              <w:contextualSpacing/>
              <w:jc w:val="center"/>
              <w:rPr>
                <w:rFonts w:ascii="arial" w:hAnsi="arial"/>
              </w:rPr>
            </w:pPr>
            <w:r>
              <w:rPr>
                <w:rFonts w:cs="" w:ascii="arial" w:hAnsi="arial"/>
                <w:kern w:val="0"/>
                <w:sz w:val="24"/>
                <w:szCs w:val="24"/>
                <w:lang w:eastAsia="en-US" w:bidi="ar-SA"/>
              </w:rPr>
              <w:t>F</w:t>
            </w:r>
          </w:p>
        </w:tc>
        <w:tc>
          <w:tcPr>
            <w:tcW w:w="1883"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0</w:t>
            </w:r>
          </w:p>
        </w:tc>
      </w:tr>
    </w:tbl>
    <w:p>
      <w:pPr>
        <w:pStyle w:val="ListParagraph"/>
        <w:ind w:left="426"/>
        <w:jc w:val="both"/>
        <w:rPr>
          <w:rFonts w:ascii="arial" w:hAnsi="arial"/>
          <w:sz w:val="24"/>
          <w:szCs w:val="24"/>
        </w:rPr>
      </w:pPr>
      <w:r>
        <w:rPr>
          <w:rFonts w:ascii="arial" w:hAnsi="arial"/>
          <w:sz w:val="24"/>
          <w:szCs w:val="24"/>
        </w:rPr>
      </w:r>
    </w:p>
    <w:p>
      <w:pPr>
        <w:pStyle w:val="ListParagraph"/>
        <w:ind w:hanging="720" w:left="720"/>
        <w:jc w:val="both"/>
        <w:rPr>
          <w:rFonts w:ascii="arial" w:hAnsi="arial"/>
        </w:rPr>
      </w:pPr>
      <w:r>
        <w:rPr>
          <w:rFonts w:ascii="arial" w:hAnsi="arial"/>
          <w:b/>
          <w:sz w:val="24"/>
          <w:szCs w:val="24"/>
        </w:rPr>
        <w:t>2.04</w:t>
        <w:tab/>
        <w:t>APPEAL FOR REASSESSMENT</w:t>
      </w:r>
    </w:p>
    <w:p>
      <w:pPr>
        <w:pStyle w:val="ListParagraph"/>
        <w:ind w:left="426"/>
        <w:jc w:val="both"/>
        <w:rPr>
          <w:rFonts w:ascii="arial" w:hAnsi="arial"/>
        </w:rPr>
      </w:pPr>
      <w:r>
        <w:rPr>
          <w:rFonts w:ascii="arial" w:hAnsi="arial"/>
          <w:sz w:val="24"/>
          <w:szCs w:val="24"/>
        </w:rPr>
        <w:t>A student may request for reassessment of the quality of his/her work in the course of an examination in a course during the semester and within one week of the publication of results. Such a student shall pay a fee of one thousand Naira (#1,000.00) which is subject to review. The application for reassessment shall be made only after presentation of evidence if payment. The reassessment shall be final when approved by senate.</w:t>
      </w:r>
    </w:p>
    <w:p>
      <w:pPr>
        <w:pStyle w:val="ListParagraph"/>
        <w:ind w:left="426"/>
        <w:jc w:val="both"/>
        <w:rPr>
          <w:rFonts w:ascii="arial" w:hAnsi="arial"/>
          <w:sz w:val="24"/>
          <w:szCs w:val="24"/>
        </w:rPr>
      </w:pPr>
      <w:r>
        <w:rPr>
          <w:rFonts w:ascii="arial" w:hAnsi="arial"/>
          <w:sz w:val="24"/>
          <w:szCs w:val="24"/>
        </w:rPr>
      </w:r>
    </w:p>
    <w:p>
      <w:pPr>
        <w:pStyle w:val="ListParagraph"/>
        <w:numPr>
          <w:ilvl w:val="1"/>
          <w:numId w:val="7"/>
        </w:numPr>
        <w:ind w:hanging="720" w:left="720"/>
        <w:jc w:val="both"/>
        <w:rPr>
          <w:rFonts w:ascii="arial" w:hAnsi="arial"/>
        </w:rPr>
      </w:pPr>
      <w:r>
        <w:rPr>
          <w:rFonts w:ascii="arial" w:hAnsi="arial"/>
          <w:b/>
          <w:sz w:val="24"/>
          <w:szCs w:val="24"/>
        </w:rPr>
        <w:t>ABSENCE FROM EXAMINATION</w:t>
      </w:r>
    </w:p>
    <w:p>
      <w:pPr>
        <w:pStyle w:val="ListParagraph"/>
        <w:ind w:left="426"/>
        <w:jc w:val="both"/>
        <w:rPr>
          <w:rFonts w:ascii="arial" w:hAnsi="arial"/>
        </w:rPr>
      </w:pPr>
      <w:r>
        <w:rPr>
          <w:rFonts w:ascii="arial" w:hAnsi="arial"/>
          <w:sz w:val="24"/>
          <w:szCs w:val="24"/>
        </w:rPr>
        <w:t>A student who absents him/herself from examination without written permission from the Head of Department or Dean of Faculty during or at the end of the semester will be deemed to have failed the examination. A student who has less than 70% class attendance stands to be disqualified from taking examination in that course. If a student is absent from examination on permission, he/she shall be allowed to take the examination at the next available opportunity. The units of the course(s) affected shall be used to compute the CGPA of the student in the semester of deferment.</w:t>
      </w:r>
    </w:p>
    <w:p>
      <w:pPr>
        <w:pStyle w:val="ListParagraph"/>
        <w:ind w:left="426"/>
        <w:jc w:val="both"/>
        <w:rPr>
          <w:rFonts w:ascii="arial" w:hAnsi="arial"/>
          <w:sz w:val="24"/>
          <w:szCs w:val="24"/>
        </w:rPr>
      </w:pPr>
      <w:r>
        <w:rPr>
          <w:rFonts w:ascii="arial" w:hAnsi="arial"/>
          <w:sz w:val="24"/>
          <w:szCs w:val="24"/>
        </w:rPr>
      </w:r>
    </w:p>
    <w:p>
      <w:pPr>
        <w:pStyle w:val="ListParagraph"/>
        <w:ind w:left="426"/>
        <w:jc w:val="both"/>
        <w:rPr>
          <w:rFonts w:ascii="arial" w:hAnsi="arial"/>
          <w:sz w:val="24"/>
          <w:szCs w:val="24"/>
        </w:rPr>
      </w:pPr>
      <w:r>
        <w:rPr>
          <w:rFonts w:ascii="arial" w:hAnsi="arial"/>
          <w:sz w:val="24"/>
          <w:szCs w:val="24"/>
        </w:rPr>
      </w:r>
    </w:p>
    <w:p>
      <w:pPr>
        <w:pStyle w:val="ListParagraph"/>
        <w:ind w:left="426"/>
        <w:jc w:val="both"/>
        <w:rPr>
          <w:rFonts w:ascii="arial" w:hAnsi="arial"/>
          <w:sz w:val="24"/>
          <w:szCs w:val="24"/>
        </w:rPr>
      </w:pPr>
      <w:r>
        <w:rPr>
          <w:rFonts w:ascii="arial" w:hAnsi="arial"/>
          <w:sz w:val="24"/>
          <w:szCs w:val="24"/>
        </w:rPr>
      </w:r>
    </w:p>
    <w:p>
      <w:pPr>
        <w:pStyle w:val="Normal"/>
        <w:ind w:hanging="720" w:left="720"/>
        <w:jc w:val="both"/>
        <w:rPr>
          <w:rFonts w:ascii="arial" w:hAnsi="arial"/>
        </w:rPr>
      </w:pPr>
      <w:r>
        <w:rPr>
          <w:rFonts w:ascii="arial" w:hAnsi="arial"/>
          <w:b/>
          <w:sz w:val="24"/>
          <w:szCs w:val="24"/>
        </w:rPr>
        <w:t>2.06</w:t>
        <w:tab/>
        <w:t>DEFINITION OF CREDIT UNIT</w:t>
      </w:r>
    </w:p>
    <w:p>
      <w:pPr>
        <w:pStyle w:val="ListParagraph"/>
        <w:ind w:left="426"/>
        <w:jc w:val="both"/>
        <w:rPr>
          <w:rFonts w:ascii="arial" w:hAnsi="arial"/>
        </w:rPr>
      </w:pPr>
      <w:r>
        <w:rPr>
          <w:rFonts w:ascii="arial" w:hAnsi="arial"/>
          <w:sz w:val="24"/>
          <w:szCs w:val="24"/>
        </w:rPr>
        <w:t>A credit unit is defined by the total number of lecture hours assigned to a course per week.</w:t>
      </w:r>
    </w:p>
    <w:p>
      <w:pPr>
        <w:pStyle w:val="Normal"/>
        <w:ind w:hanging="720" w:left="720"/>
        <w:jc w:val="both"/>
        <w:rPr>
          <w:rFonts w:ascii="arial" w:hAnsi="arial"/>
        </w:rPr>
      </w:pPr>
      <w:r>
        <w:rPr>
          <w:rFonts w:ascii="arial" w:hAnsi="arial"/>
          <w:b/>
          <w:sz w:val="24"/>
          <w:szCs w:val="24"/>
        </w:rPr>
        <w:t>2.07</w:t>
        <w:tab/>
        <w:t>STUDENT CREDIT LOAD</w:t>
      </w:r>
    </w:p>
    <w:p>
      <w:pPr>
        <w:pStyle w:val="ListParagraph"/>
        <w:ind w:left="426"/>
        <w:jc w:val="both"/>
        <w:rPr>
          <w:rFonts w:ascii="arial" w:hAnsi="arial"/>
        </w:rPr>
      </w:pPr>
      <w:r>
        <w:rPr>
          <w:rFonts w:ascii="arial" w:hAnsi="arial"/>
          <w:sz w:val="24"/>
          <w:szCs w:val="24"/>
        </w:rPr>
        <w:t>All full-time students shall take a minimum of 15 credit units and a maximum of 24 credit units per semester. Students may apply to take less or more than the limits of units prescribed (provided it is not less that 9 units and more than 30 units). Senate through the faculty board must approve this application before it can be taken.</w:t>
      </w:r>
    </w:p>
    <w:p>
      <w:pPr>
        <w:pStyle w:val="ListParagraph"/>
        <w:ind w:left="426"/>
        <w:jc w:val="both"/>
        <w:rPr>
          <w:rFonts w:ascii="arial" w:hAnsi="arial"/>
        </w:rPr>
      </w:pPr>
      <w:r>
        <w:rPr>
          <w:rFonts w:ascii="arial" w:hAnsi="arial"/>
        </w:rPr>
      </w:r>
    </w:p>
    <w:p>
      <w:pPr>
        <w:pStyle w:val="ListParagraph"/>
        <w:ind w:hanging="720" w:left="720"/>
        <w:jc w:val="both"/>
        <w:rPr>
          <w:rFonts w:ascii="arial" w:hAnsi="arial"/>
        </w:rPr>
      </w:pPr>
      <w:r>
        <w:rPr>
          <w:rFonts w:ascii="arial" w:hAnsi="arial"/>
          <w:b/>
          <w:sz w:val="24"/>
          <w:szCs w:val="24"/>
        </w:rPr>
        <w:t>2.08</w:t>
        <w:tab/>
        <w:t>TEMPORARY WITHDRAWAL FROM STUDIES</w:t>
      </w:r>
    </w:p>
    <w:p>
      <w:pPr>
        <w:pStyle w:val="ListParagraph"/>
        <w:ind w:left="426"/>
        <w:jc w:val="both"/>
        <w:rPr>
          <w:rFonts w:ascii="arial" w:hAnsi="arial"/>
        </w:rPr>
      </w:pPr>
      <w:r>
        <w:rPr>
          <w:rFonts w:ascii="arial" w:hAnsi="arial"/>
          <w:sz w:val="24"/>
          <w:szCs w:val="24"/>
        </w:rPr>
        <w:t>A duly registered student, may for good reasons of ill-health, financial difficulty, apply for temporary withdrawal for studies by completing and submitting to the department a withdrawal form. Only senate shall grant permission for temporary withdrawal, which shall not be more than one academic session.</w:t>
      </w:r>
    </w:p>
    <w:p>
      <w:pPr>
        <w:pStyle w:val="ListParagraph"/>
        <w:ind w:left="426"/>
        <w:jc w:val="both"/>
        <w:rPr>
          <w:rFonts w:ascii="arial" w:hAnsi="arial"/>
        </w:rPr>
      </w:pPr>
      <w:r>
        <w:rPr>
          <w:rFonts w:ascii="arial" w:hAnsi="arial"/>
        </w:rPr>
      </w:r>
    </w:p>
    <w:p>
      <w:pPr>
        <w:pStyle w:val="ListParagraph"/>
        <w:numPr>
          <w:ilvl w:val="1"/>
          <w:numId w:val="8"/>
        </w:numPr>
        <w:ind w:hanging="720" w:left="720"/>
        <w:jc w:val="both"/>
        <w:rPr>
          <w:rFonts w:ascii="arial" w:hAnsi="arial"/>
        </w:rPr>
      </w:pPr>
      <w:r>
        <w:rPr>
          <w:rFonts w:ascii="arial" w:hAnsi="arial"/>
          <w:b/>
          <w:sz w:val="24"/>
          <w:szCs w:val="24"/>
        </w:rPr>
        <w:t>READMISSION FROM TEMPORARY WITHDRAWAL FROM STUDIES</w:t>
      </w:r>
    </w:p>
    <w:p>
      <w:pPr>
        <w:pStyle w:val="ListParagraph"/>
        <w:ind w:left="426"/>
        <w:jc w:val="both"/>
        <w:rPr>
          <w:rFonts w:ascii="arial" w:hAnsi="arial"/>
        </w:rPr>
      </w:pPr>
      <w:r>
        <w:rPr>
          <w:rFonts w:ascii="arial" w:hAnsi="arial"/>
          <w:sz w:val="24"/>
          <w:szCs w:val="24"/>
        </w:rPr>
        <w:t>A student who wishes to be readmitted after a period of temporary withdrawal shall apply two months before the beginning of session by completing and submitting a re-admission form. Senate must also approve this before the re-admission shall take effect.</w:t>
      </w:r>
    </w:p>
    <w:p>
      <w:pPr>
        <w:pStyle w:val="ListParagraph"/>
        <w:ind w:left="426"/>
        <w:jc w:val="both"/>
        <w:rPr>
          <w:rFonts w:ascii="arial" w:hAnsi="arial"/>
        </w:rPr>
      </w:pPr>
      <w:r>
        <w:rPr>
          <w:rFonts w:ascii="arial" w:hAnsi="arial"/>
        </w:rPr>
      </w:r>
    </w:p>
    <w:p>
      <w:pPr>
        <w:pStyle w:val="ListParagraph"/>
        <w:ind w:hanging="720" w:left="720"/>
        <w:jc w:val="both"/>
        <w:rPr>
          <w:rFonts w:ascii="arial" w:hAnsi="arial"/>
        </w:rPr>
      </w:pPr>
      <w:r>
        <w:rPr>
          <w:rFonts w:ascii="arial" w:hAnsi="arial"/>
          <w:b/>
          <w:sz w:val="24"/>
          <w:szCs w:val="24"/>
        </w:rPr>
        <w:t>2.10</w:t>
        <w:tab/>
        <w:t xml:space="preserve">GRADE POINT (GP)/CUMULATIVE GRADE POINT (CGP) </w:t>
      </w:r>
    </w:p>
    <w:p>
      <w:pPr>
        <w:pStyle w:val="ListParagraph"/>
        <w:ind w:left="426"/>
        <w:jc w:val="both"/>
        <w:rPr>
          <w:rFonts w:ascii="arial" w:hAnsi="arial"/>
        </w:rPr>
      </w:pPr>
      <w:r>
        <w:rPr>
          <w:rFonts w:ascii="arial" w:hAnsi="arial"/>
          <w:sz w:val="24"/>
          <w:szCs w:val="24"/>
        </w:rPr>
        <w:t xml:space="preserve">The GP of a semester is calculated by adding all grade points earned by a student. The cumulative grade point is calculated by adding the total GP of the current semester and that of the preceding semesters. </w:t>
      </w:r>
    </w:p>
    <w:p>
      <w:pPr>
        <w:pStyle w:val="ListParagraph"/>
        <w:ind w:left="426"/>
        <w:jc w:val="both"/>
        <w:rPr>
          <w:rFonts w:ascii="arial" w:hAnsi="arial"/>
        </w:rPr>
      </w:pPr>
      <w:r>
        <w:rPr>
          <w:rFonts w:ascii="arial" w:hAnsi="arial"/>
        </w:rPr>
      </w:r>
    </w:p>
    <w:p>
      <w:pPr>
        <w:pStyle w:val="ListParagraph"/>
        <w:ind w:hanging="720" w:left="720"/>
        <w:jc w:val="both"/>
        <w:rPr>
          <w:rFonts w:ascii="arial" w:hAnsi="arial"/>
        </w:rPr>
      </w:pPr>
      <w:r>
        <w:rPr>
          <w:rFonts w:ascii="arial" w:hAnsi="arial"/>
          <w:b/>
          <w:sz w:val="24"/>
          <w:szCs w:val="24"/>
        </w:rPr>
        <w:t>2.11</w:t>
        <w:tab/>
        <w:t>CREDIT UNIT (CU)</w:t>
      </w:r>
    </w:p>
    <w:p>
      <w:pPr>
        <w:pStyle w:val="ListParagraph"/>
        <w:ind w:left="426"/>
        <w:jc w:val="both"/>
        <w:rPr>
          <w:rFonts w:ascii="arial" w:hAnsi="arial"/>
        </w:rPr>
      </w:pPr>
      <w:r>
        <w:rPr>
          <w:rFonts w:ascii="arial" w:hAnsi="arial"/>
          <w:sz w:val="24"/>
          <w:szCs w:val="24"/>
        </w:rPr>
        <w:t>All courses are assigned credit units. The CU for a semester is calculated by adding the units of all courses registered by a student in a semester. The cumulative unit is calculated by adding the total units of the current semester and that of the preceding semester(s).</w:t>
      </w:r>
    </w:p>
    <w:p>
      <w:pPr>
        <w:pStyle w:val="ListParagraph"/>
        <w:ind w:left="426"/>
        <w:jc w:val="both"/>
        <w:rPr>
          <w:rFonts w:ascii="arial" w:hAnsi="arial"/>
        </w:rPr>
      </w:pPr>
      <w:r>
        <w:rPr>
          <w:rFonts w:ascii="arial" w:hAnsi="arial"/>
        </w:rPr>
      </w:r>
    </w:p>
    <w:p>
      <w:pPr>
        <w:pStyle w:val="ListParagraph"/>
        <w:numPr>
          <w:ilvl w:val="1"/>
          <w:numId w:val="9"/>
        </w:numPr>
        <w:ind w:hanging="720" w:left="720"/>
        <w:jc w:val="both"/>
        <w:rPr>
          <w:rFonts w:ascii="arial" w:hAnsi="arial"/>
        </w:rPr>
      </w:pPr>
      <w:r>
        <w:rPr>
          <w:rFonts w:ascii="arial" w:hAnsi="arial"/>
          <w:b/>
          <w:sz w:val="24"/>
          <w:szCs w:val="24"/>
        </w:rPr>
        <w:t>QUALITY POINT (QP)</w:t>
      </w:r>
    </w:p>
    <w:p>
      <w:pPr>
        <w:pStyle w:val="ListParagraph"/>
        <w:ind w:left="426"/>
        <w:jc w:val="both"/>
        <w:rPr>
          <w:rFonts w:ascii="arial" w:hAnsi="arial"/>
        </w:rPr>
      </w:pPr>
      <w:r>
        <w:rPr>
          <w:rFonts w:ascii="arial" w:hAnsi="arial"/>
          <w:sz w:val="24"/>
          <w:szCs w:val="24"/>
        </w:rPr>
        <w:t>This is derived by multiplying the credit units of a course with the grade point earned by the student. For example, if the CU of a course is 3 units and a student scores A in a 5 grade point, the quality point is calculated by multiplying 3 with 5 (3*5=15), gives 15.</w:t>
      </w:r>
    </w:p>
    <w:p>
      <w:pPr>
        <w:pStyle w:val="ListParagraph"/>
        <w:ind w:left="426"/>
        <w:jc w:val="both"/>
        <w:rPr>
          <w:rFonts w:ascii="arial" w:hAnsi="arial"/>
        </w:rPr>
      </w:pPr>
      <w:r>
        <w:rPr>
          <w:rFonts w:ascii="arial" w:hAnsi="arial"/>
        </w:rPr>
      </w:r>
    </w:p>
    <w:p>
      <w:pPr>
        <w:pStyle w:val="ListParagraph"/>
        <w:ind w:left="426"/>
        <w:jc w:val="both"/>
        <w:rPr>
          <w:rFonts w:ascii="arial" w:hAnsi="arial"/>
        </w:rPr>
      </w:pPr>
      <w:r>
        <w:rPr>
          <w:rFonts w:ascii="arial" w:hAnsi="arial"/>
        </w:rPr>
      </w:r>
    </w:p>
    <w:p>
      <w:pPr>
        <w:pStyle w:val="ListParagraph"/>
        <w:ind w:left="426"/>
        <w:jc w:val="both"/>
        <w:rPr>
          <w:rFonts w:ascii="arial" w:hAnsi="arial"/>
        </w:rPr>
      </w:pPr>
      <w:r>
        <w:rPr>
          <w:rFonts w:ascii="arial" w:hAnsi="arial"/>
        </w:rPr>
      </w:r>
    </w:p>
    <w:p>
      <w:pPr>
        <w:pStyle w:val="ListParagraph"/>
        <w:ind w:left="426"/>
        <w:jc w:val="both"/>
        <w:rPr>
          <w:rFonts w:ascii="arial" w:hAnsi="arial"/>
        </w:rPr>
      </w:pPr>
      <w:r>
        <w:rPr>
          <w:rFonts w:ascii="arial" w:hAnsi="arial"/>
        </w:rPr>
      </w:r>
    </w:p>
    <w:p>
      <w:pPr>
        <w:pStyle w:val="ListParagraph"/>
        <w:ind w:left="426"/>
        <w:jc w:val="both"/>
        <w:rPr>
          <w:rFonts w:ascii="arial" w:hAnsi="arial"/>
        </w:rPr>
      </w:pPr>
      <w:r>
        <w:rPr>
          <w:rFonts w:ascii="arial" w:hAnsi="arial"/>
        </w:rPr>
      </w:r>
    </w:p>
    <w:p>
      <w:pPr>
        <w:pStyle w:val="ListParagraph"/>
        <w:ind w:hanging="720" w:left="720"/>
        <w:jc w:val="both"/>
        <w:rPr>
          <w:rFonts w:ascii="arial" w:hAnsi="arial"/>
        </w:rPr>
      </w:pPr>
      <w:r>
        <w:rPr>
          <w:rFonts w:ascii="arial" w:hAnsi="arial"/>
          <w:b/>
          <w:sz w:val="24"/>
          <w:szCs w:val="24"/>
        </w:rPr>
        <w:t>2.13</w:t>
        <w:tab/>
        <w:t>GRADE POINT AVERAGE</w:t>
      </w:r>
    </w:p>
    <w:p>
      <w:pPr>
        <w:pStyle w:val="ListParagraph"/>
        <w:ind w:left="426"/>
        <w:jc w:val="both"/>
        <w:rPr>
          <w:rFonts w:ascii="arial" w:hAnsi="arial"/>
        </w:rPr>
      </w:pPr>
      <w:r>
        <w:rPr>
          <w:rFonts w:ascii="arial" w:hAnsi="arial"/>
          <w:sz w:val="24"/>
          <w:szCs w:val="24"/>
        </w:rPr>
        <w:t xml:space="preserve">Grade point average is calculated by dividing the total quality points of the semester by the total units of the semester. For example, if a student earns 65 quality points for 21 credit units in a semester, the CPA 65 divided by 21 which gives us </w:t>
      </w:r>
      <w:r>
        <w:rPr>
          <w:rFonts w:ascii="arial" w:hAnsi="arial"/>
          <w:color w:themeColor="accent2" w:val="C0504D"/>
          <w:sz w:val="24"/>
          <w:szCs w:val="24"/>
        </w:rPr>
        <w:t>3.09</w:t>
      </w:r>
    </w:p>
    <w:p>
      <w:pPr>
        <w:pStyle w:val="ListParagraph"/>
        <w:ind w:left="426"/>
        <w:jc w:val="both"/>
        <w:rPr>
          <w:rFonts w:ascii="arial" w:hAnsi="arial"/>
        </w:rPr>
      </w:pPr>
      <w:r>
        <w:rPr>
          <w:rFonts w:ascii="arial" w:hAnsi="arial"/>
        </w:rPr>
      </w:r>
    </w:p>
    <w:p>
      <w:pPr>
        <w:pStyle w:val="ListParagraph"/>
        <w:ind w:left="0"/>
        <w:jc w:val="both"/>
        <w:rPr>
          <w:rFonts w:ascii="arial" w:hAnsi="arial"/>
        </w:rPr>
      </w:pPr>
      <w:r>
        <w:rPr>
          <w:rFonts w:ascii="arial" w:hAnsi="arial"/>
          <w:b/>
          <w:sz w:val="24"/>
          <w:szCs w:val="24"/>
        </w:rPr>
        <w:t>2.14</w:t>
        <w:tab/>
        <w:t>CUMULATIVE GRADE POINT AVERAGE (CGPA)</w:t>
      </w:r>
    </w:p>
    <w:p>
      <w:pPr>
        <w:pStyle w:val="ListParagraph"/>
        <w:ind w:left="426"/>
        <w:jc w:val="both"/>
        <w:rPr>
          <w:rFonts w:ascii="arial" w:hAnsi="arial"/>
        </w:rPr>
      </w:pPr>
      <w:r>
        <w:rPr>
          <w:rFonts w:ascii="arial" w:hAnsi="arial"/>
          <w:sz w:val="24"/>
          <w:szCs w:val="24"/>
        </w:rPr>
        <w:t>The cumulative grade point average is derived by dividing Cumulative Quality Point by Cumulative Units. The cumulative grade points is the sum of all quality points earned by a student to the current semester. The Cumulative credit unit is the sum of all credit units registered by a student to the current semester. It is worthy of note that repeat courses swell the cumulative units and therefore weaken a student’s CGPA. For example, if the total or cumulative grade point of a student is 306 and the cumulative units are 78, the CGPA would be 306 divided by 78=3.92</w:t>
      </w:r>
    </w:p>
    <w:p>
      <w:pPr>
        <w:pStyle w:val="ListParagraph"/>
        <w:ind w:left="426"/>
        <w:jc w:val="both"/>
        <w:rPr>
          <w:rFonts w:ascii="arial" w:hAnsi="arial"/>
        </w:rPr>
      </w:pPr>
      <w:r>
        <w:rPr>
          <w:rFonts w:ascii="arial" w:hAnsi="arial"/>
        </w:rPr>
      </w:r>
    </w:p>
    <w:p>
      <w:pPr>
        <w:pStyle w:val="ListParagraph"/>
        <w:numPr>
          <w:ilvl w:val="1"/>
          <w:numId w:val="10"/>
        </w:numPr>
        <w:ind w:hanging="461" w:left="461"/>
        <w:jc w:val="both"/>
        <w:rPr>
          <w:rFonts w:ascii="arial" w:hAnsi="arial"/>
        </w:rPr>
      </w:pPr>
      <w:r>
        <w:rPr>
          <w:rFonts w:ascii="arial" w:hAnsi="arial"/>
          <w:b/>
          <w:sz w:val="24"/>
          <w:szCs w:val="24"/>
        </w:rPr>
        <w:t>RE-REGISTRATION OF FAILED COURSE(S)</w:t>
      </w:r>
    </w:p>
    <w:p>
      <w:pPr>
        <w:pStyle w:val="ListParagraph"/>
        <w:ind w:left="426"/>
        <w:jc w:val="both"/>
        <w:rPr>
          <w:rFonts w:ascii="arial" w:hAnsi="arial"/>
        </w:rPr>
      </w:pPr>
      <w:r>
        <w:rPr>
          <w:rFonts w:ascii="arial" w:hAnsi="arial"/>
          <w:sz w:val="24"/>
          <w:szCs w:val="24"/>
        </w:rPr>
        <w:t>Students are required to re-register failed course(s). Such courses shall be registered before the student’s registers new courses.</w:t>
      </w:r>
    </w:p>
    <w:p>
      <w:pPr>
        <w:pStyle w:val="ListParagraph"/>
        <w:ind w:left="426"/>
        <w:jc w:val="both"/>
        <w:rPr>
          <w:rFonts w:ascii="arial" w:hAnsi="arial"/>
        </w:rPr>
      </w:pPr>
      <w:r>
        <w:rPr>
          <w:rFonts w:ascii="arial" w:hAnsi="arial"/>
        </w:rPr>
      </w:r>
    </w:p>
    <w:p>
      <w:pPr>
        <w:pStyle w:val="ListParagraph"/>
        <w:ind w:left="0"/>
        <w:jc w:val="both"/>
        <w:rPr>
          <w:rFonts w:ascii="arial" w:hAnsi="arial"/>
        </w:rPr>
      </w:pPr>
      <w:r>
        <w:rPr>
          <w:rFonts w:ascii="arial" w:hAnsi="arial"/>
          <w:b/>
          <w:sz w:val="24"/>
          <w:szCs w:val="24"/>
        </w:rPr>
        <w:t>2.16</w:t>
        <w:tab/>
        <w:t>CLEAR STANDING (CS)</w:t>
      </w:r>
    </w:p>
    <w:p>
      <w:pPr>
        <w:pStyle w:val="ListParagraph"/>
        <w:ind w:left="426"/>
        <w:jc w:val="both"/>
        <w:rPr>
          <w:rFonts w:ascii="arial" w:hAnsi="arial"/>
        </w:rPr>
      </w:pPr>
      <w:r>
        <w:rPr>
          <w:rFonts w:ascii="arial" w:hAnsi="arial"/>
          <w:sz w:val="24"/>
          <w:szCs w:val="24"/>
        </w:rPr>
        <w:t>A student is regarded to be on Clear Standing when he/she maintains at least a ‘D’ grade in all registered courses.</w:t>
      </w:r>
    </w:p>
    <w:p>
      <w:pPr>
        <w:pStyle w:val="ListParagraph"/>
        <w:ind w:left="426"/>
        <w:jc w:val="both"/>
        <w:rPr>
          <w:rFonts w:ascii="arial" w:hAnsi="arial"/>
        </w:rPr>
      </w:pPr>
      <w:r>
        <w:rPr>
          <w:rFonts w:ascii="arial" w:hAnsi="arial"/>
        </w:rPr>
      </w:r>
    </w:p>
    <w:p>
      <w:pPr>
        <w:pStyle w:val="ListParagraph"/>
        <w:ind w:left="0"/>
        <w:jc w:val="both"/>
        <w:rPr>
          <w:rFonts w:ascii="arial" w:hAnsi="arial"/>
        </w:rPr>
      </w:pPr>
      <w:r>
        <w:rPr>
          <w:rFonts w:ascii="arial" w:hAnsi="arial"/>
          <w:b/>
          <w:sz w:val="24"/>
          <w:szCs w:val="24"/>
        </w:rPr>
        <w:t>2.17</w:t>
        <w:tab/>
        <w:t>ACADEMIC PROBATION</w:t>
      </w:r>
    </w:p>
    <w:p>
      <w:pPr>
        <w:pStyle w:val="ListParagraph"/>
        <w:ind w:left="426"/>
        <w:jc w:val="both"/>
        <w:rPr>
          <w:rFonts w:ascii="arial" w:hAnsi="arial"/>
        </w:rPr>
      </w:pPr>
      <w:r>
        <w:rPr>
          <w:rFonts w:ascii="arial" w:hAnsi="arial"/>
          <w:sz w:val="24"/>
          <w:szCs w:val="24"/>
        </w:rPr>
        <w:t>A student shall be placed on academic probation if he/she fails to maintain a CGPA of 1.50 at the end of an academic session. This status of a student is reversed if the student maintains a CGPA of 1.50 and above in subsequent semesters. The responsibility to reverse a probation status rests on the student. A preliminary notice of poor academic standing shall be given to a student in writing by the university.</w:t>
      </w:r>
    </w:p>
    <w:p>
      <w:pPr>
        <w:pStyle w:val="ListParagraph"/>
        <w:ind w:left="426"/>
        <w:jc w:val="both"/>
        <w:rPr>
          <w:rFonts w:ascii="arial" w:hAnsi="arial"/>
        </w:rPr>
      </w:pPr>
      <w:r>
        <w:rPr>
          <w:rFonts w:ascii="arial" w:hAnsi="arial"/>
        </w:rPr>
      </w:r>
    </w:p>
    <w:p>
      <w:pPr>
        <w:pStyle w:val="ListParagraph"/>
        <w:numPr>
          <w:ilvl w:val="1"/>
          <w:numId w:val="11"/>
        </w:numPr>
        <w:ind w:hanging="461" w:left="461"/>
        <w:jc w:val="both"/>
        <w:rPr>
          <w:rFonts w:ascii="arial" w:hAnsi="arial"/>
        </w:rPr>
      </w:pPr>
      <w:r>
        <w:rPr>
          <w:rFonts w:ascii="arial" w:hAnsi="arial"/>
          <w:b/>
          <w:sz w:val="24"/>
          <w:szCs w:val="24"/>
        </w:rPr>
        <w:t>WITHDRAWAL FOR ACADEMIC FAILURE (WAF)</w:t>
      </w:r>
    </w:p>
    <w:p>
      <w:pPr>
        <w:pStyle w:val="ListParagraph"/>
        <w:ind w:left="426"/>
        <w:jc w:val="both"/>
        <w:rPr>
          <w:rFonts w:ascii="arial" w:hAnsi="arial"/>
        </w:rPr>
      </w:pPr>
      <w:r>
        <w:rPr>
          <w:rFonts w:ascii="arial" w:hAnsi="arial"/>
          <w:sz w:val="24"/>
          <w:szCs w:val="24"/>
        </w:rPr>
        <w:t xml:space="preserve">A student is required to withdraw for academic failure if he/she fails to maintain a CGPA of at least 1.50. This rule does not apply students in year one, who can only be placed on probation. A student in his/her final year of study who fails to maintain a CGPA of 1.00 may be allowed to register for courses in the extra year. Such student who fails to make s minimum CGPA of 1.50 in the concession year shall be asked to withdraw from the university. A student who fails to obtain s passing grade in a minimum of 40% of courses registered in a session shall also be asked to withdraw from the university.  </w:t>
      </w:r>
    </w:p>
    <w:p>
      <w:pPr>
        <w:pStyle w:val="ListParagraph"/>
        <w:ind w:left="426"/>
        <w:jc w:val="both"/>
        <w:rPr>
          <w:rFonts w:ascii="arial" w:hAnsi="arial"/>
        </w:rPr>
      </w:pPr>
      <w:r>
        <w:rPr>
          <w:rFonts w:ascii="arial" w:hAnsi="arial"/>
        </w:rPr>
      </w:r>
    </w:p>
    <w:p>
      <w:pPr>
        <w:pStyle w:val="ListParagraph"/>
        <w:ind w:left="426"/>
        <w:jc w:val="both"/>
        <w:rPr>
          <w:rFonts w:ascii="arial" w:hAnsi="arial"/>
        </w:rPr>
      </w:pPr>
      <w:r>
        <w:rPr>
          <w:rFonts w:ascii="arial" w:hAnsi="arial"/>
        </w:rPr>
      </w:r>
    </w:p>
    <w:p>
      <w:pPr>
        <w:pStyle w:val="ListParagraph"/>
        <w:ind w:left="426"/>
        <w:jc w:val="both"/>
        <w:rPr>
          <w:rFonts w:ascii="arial" w:hAnsi="arial"/>
        </w:rPr>
      </w:pPr>
      <w:r>
        <w:rPr>
          <w:rFonts w:ascii="arial" w:hAnsi="arial"/>
        </w:rPr>
      </w:r>
    </w:p>
    <w:p>
      <w:pPr>
        <w:pStyle w:val="ListParagraph"/>
        <w:ind w:left="0"/>
        <w:jc w:val="both"/>
        <w:rPr>
          <w:rFonts w:ascii="arial" w:hAnsi="arial"/>
        </w:rPr>
      </w:pPr>
      <w:r>
        <w:rPr>
          <w:rFonts w:ascii="arial" w:hAnsi="arial"/>
          <w:b/>
          <w:sz w:val="24"/>
          <w:szCs w:val="24"/>
        </w:rPr>
        <w:t>2.19</w:t>
        <w:tab/>
        <w:t>CLASS ATTENDANCE</w:t>
      </w:r>
    </w:p>
    <w:p>
      <w:pPr>
        <w:pStyle w:val="ListParagraph"/>
        <w:ind w:left="426"/>
        <w:jc w:val="both"/>
        <w:rPr>
          <w:rFonts w:ascii="arial" w:hAnsi="arial"/>
        </w:rPr>
      </w:pPr>
      <w:r>
        <w:rPr>
          <w:rFonts w:ascii="arial" w:hAnsi="arial"/>
          <w:sz w:val="24"/>
          <w:szCs w:val="24"/>
        </w:rPr>
        <w:t>All registered students of the department are expected to attend all scheduled classes, including tutorials and seminars. Student attendance shall be taken by the course lecturers and program coordinators, as the case may be. These shall be crossed-checked by the Head of Department. Attendance requirement to be admitted into examinations for courses shall be a minimum of 75% of scheduled classes.</w:t>
      </w:r>
    </w:p>
    <w:p>
      <w:pPr>
        <w:pStyle w:val="ListParagraph"/>
        <w:ind w:left="426"/>
        <w:jc w:val="both"/>
        <w:rPr>
          <w:rFonts w:ascii="arial" w:hAnsi="arial"/>
        </w:rPr>
      </w:pPr>
      <w:r>
        <w:rPr>
          <w:rFonts w:ascii="arial" w:hAnsi="arial"/>
        </w:rPr>
      </w:r>
    </w:p>
    <w:p>
      <w:pPr>
        <w:pStyle w:val="ListParagraph"/>
        <w:ind w:left="0"/>
        <w:jc w:val="both"/>
        <w:rPr>
          <w:rFonts w:ascii="arial" w:hAnsi="arial"/>
        </w:rPr>
      </w:pPr>
      <w:r>
        <w:rPr>
          <w:rFonts w:ascii="arial" w:hAnsi="arial"/>
          <w:b/>
          <w:sz w:val="24"/>
          <w:szCs w:val="24"/>
        </w:rPr>
        <w:t>2.20</w:t>
        <w:tab/>
        <w:t>GRADUATION REQUIREMENT</w:t>
      </w:r>
    </w:p>
    <w:p>
      <w:pPr>
        <w:pStyle w:val="ListParagraph"/>
        <w:ind w:left="426"/>
        <w:jc w:val="both"/>
        <w:rPr>
          <w:rFonts w:ascii="arial" w:hAnsi="arial"/>
        </w:rPr>
      </w:pPr>
      <w:r>
        <w:rPr>
          <w:rFonts w:ascii="arial" w:hAnsi="arial"/>
          <w:sz w:val="24"/>
          <w:szCs w:val="24"/>
        </w:rPr>
        <w:t>To qualify for a bachelor’s degree in the Department of Philosophy, students must attain the following:</w:t>
      </w:r>
    </w:p>
    <w:p>
      <w:pPr>
        <w:pStyle w:val="ListParagraph"/>
        <w:numPr>
          <w:ilvl w:val="0"/>
          <w:numId w:val="4"/>
        </w:numPr>
        <w:jc w:val="both"/>
        <w:rPr>
          <w:rFonts w:ascii="arial" w:hAnsi="arial"/>
        </w:rPr>
      </w:pPr>
      <w:r>
        <w:rPr>
          <w:rFonts w:ascii="arial" w:hAnsi="arial"/>
          <w:sz w:val="24"/>
          <w:szCs w:val="24"/>
        </w:rPr>
        <w:t>minimum CGPA of 1.50</w:t>
      </w:r>
    </w:p>
    <w:p>
      <w:pPr>
        <w:pStyle w:val="ListParagraph"/>
        <w:numPr>
          <w:ilvl w:val="0"/>
          <w:numId w:val="4"/>
        </w:numPr>
        <w:jc w:val="both"/>
        <w:rPr>
          <w:rFonts w:ascii="arial" w:hAnsi="arial"/>
        </w:rPr>
      </w:pPr>
      <w:r>
        <w:rPr>
          <w:rFonts w:ascii="arial" w:hAnsi="arial"/>
          <w:sz w:val="24"/>
          <w:szCs w:val="24"/>
        </w:rPr>
        <w:t>a minimum of 120 credit units. A transfer student must earn a minimum of 60 units in the Niger Delta University.</w:t>
      </w:r>
    </w:p>
    <w:p>
      <w:pPr>
        <w:pStyle w:val="ListParagraph"/>
        <w:numPr>
          <w:ilvl w:val="0"/>
          <w:numId w:val="4"/>
        </w:numPr>
        <w:jc w:val="both"/>
        <w:rPr>
          <w:rFonts w:ascii="arial" w:hAnsi="arial"/>
        </w:rPr>
      </w:pPr>
      <w:r>
        <w:rPr>
          <w:rFonts w:ascii="arial" w:hAnsi="arial"/>
          <w:sz w:val="24"/>
          <w:szCs w:val="24"/>
        </w:rPr>
        <w:t xml:space="preserve">a minimum score of 30% must be obtained in the required courses. </w:t>
      </w:r>
    </w:p>
    <w:p>
      <w:pPr>
        <w:pStyle w:val="ListParagraph"/>
        <w:numPr>
          <w:ilvl w:val="0"/>
          <w:numId w:val="4"/>
        </w:numPr>
        <w:jc w:val="both"/>
        <w:rPr>
          <w:rFonts w:ascii="arial" w:hAnsi="arial"/>
        </w:rPr>
      </w:pPr>
      <w:r>
        <w:rPr>
          <w:rFonts w:ascii="arial" w:hAnsi="arial"/>
          <w:sz w:val="24"/>
          <w:szCs w:val="24"/>
        </w:rPr>
        <w:t>Students must take required units of elective courses.</w:t>
      </w:r>
    </w:p>
    <w:p>
      <w:pPr>
        <w:pStyle w:val="ListParagraph"/>
        <w:numPr>
          <w:ilvl w:val="0"/>
          <w:numId w:val="4"/>
        </w:numPr>
        <w:jc w:val="both"/>
        <w:rPr>
          <w:rFonts w:ascii="arial" w:hAnsi="arial"/>
        </w:rPr>
      </w:pPr>
      <w:r>
        <w:rPr>
          <w:rFonts w:ascii="arial" w:hAnsi="arial"/>
          <w:sz w:val="24"/>
          <w:szCs w:val="24"/>
        </w:rPr>
        <w:t>Participate in all required departmental and university programs</w:t>
      </w:r>
    </w:p>
    <w:p>
      <w:pPr>
        <w:pStyle w:val="ListParagraph"/>
        <w:jc w:val="both"/>
        <w:rPr>
          <w:rFonts w:ascii="arial" w:hAnsi="arial"/>
        </w:rPr>
      </w:pPr>
      <w:r>
        <w:rPr>
          <w:rFonts w:ascii="arial" w:hAnsi="arial"/>
        </w:rPr>
      </w:r>
    </w:p>
    <w:p>
      <w:pPr>
        <w:pStyle w:val="ListParagraph"/>
        <w:numPr>
          <w:ilvl w:val="1"/>
          <w:numId w:val="12"/>
        </w:numPr>
        <w:ind w:hanging="461" w:left="461"/>
        <w:jc w:val="both"/>
        <w:rPr>
          <w:rFonts w:ascii="arial" w:hAnsi="arial"/>
        </w:rPr>
      </w:pPr>
      <w:r>
        <w:rPr>
          <w:rFonts w:ascii="arial" w:hAnsi="arial"/>
          <w:b/>
          <w:sz w:val="24"/>
          <w:szCs w:val="24"/>
        </w:rPr>
        <w:t>CLASSIFICATION OF DEGREES</w:t>
      </w:r>
    </w:p>
    <w:tbl>
      <w:tblPr>
        <w:tblStyle w:val="TableGrid"/>
        <w:tblW w:w="4902" w:type="dxa"/>
        <w:jc w:val="left"/>
        <w:tblInd w:w="425" w:type="dxa"/>
        <w:tblLayout w:type="fixed"/>
        <w:tblCellMar>
          <w:top w:w="0" w:type="dxa"/>
          <w:left w:w="108" w:type="dxa"/>
          <w:bottom w:w="0" w:type="dxa"/>
          <w:right w:w="108" w:type="dxa"/>
        </w:tblCellMar>
        <w:tblLook w:noHBand="0" w:noVBand="1" w:firstColumn="1" w:lastRow="0" w:lastColumn="0" w:firstRow="1" w:val="04a0"/>
      </w:tblPr>
      <w:tblGrid>
        <w:gridCol w:w="3482"/>
        <w:gridCol w:w="1420"/>
      </w:tblGrid>
      <w:tr>
        <w:trPr/>
        <w:tc>
          <w:tcPr>
            <w:tcW w:w="3482" w:type="dxa"/>
            <w:tcBorders/>
          </w:tcPr>
          <w:p>
            <w:pPr>
              <w:pStyle w:val="ListParagraph"/>
              <w:widowControl/>
              <w:suppressAutoHyphens w:val="true"/>
              <w:spacing w:before="0" w:after="200"/>
              <w:ind w:left="0"/>
              <w:contextualSpacing/>
              <w:jc w:val="both"/>
              <w:rPr>
                <w:rFonts w:ascii="arial" w:hAnsi="arial"/>
              </w:rPr>
            </w:pPr>
            <w:r>
              <w:rPr>
                <w:rFonts w:cs="" w:ascii="arial" w:hAnsi="arial"/>
                <w:b/>
                <w:kern w:val="0"/>
                <w:sz w:val="24"/>
                <w:szCs w:val="24"/>
                <w:lang w:eastAsia="en-US" w:bidi="ar-SA"/>
              </w:rPr>
              <w:t>CLASS OF DEGREE</w:t>
            </w:r>
          </w:p>
        </w:tc>
        <w:tc>
          <w:tcPr>
            <w:tcW w:w="1420" w:type="dxa"/>
            <w:tcBorders/>
          </w:tcPr>
          <w:p>
            <w:pPr>
              <w:pStyle w:val="ListParagraph"/>
              <w:widowControl/>
              <w:suppressAutoHyphens w:val="true"/>
              <w:spacing w:before="0" w:after="200"/>
              <w:ind w:left="0"/>
              <w:contextualSpacing/>
              <w:jc w:val="both"/>
              <w:rPr>
                <w:rFonts w:ascii="arial" w:hAnsi="arial"/>
              </w:rPr>
            </w:pPr>
            <w:r>
              <w:rPr>
                <w:rFonts w:cs="" w:ascii="arial" w:hAnsi="arial"/>
                <w:b/>
                <w:kern w:val="0"/>
                <w:sz w:val="24"/>
                <w:szCs w:val="24"/>
                <w:lang w:eastAsia="en-US" w:bidi="ar-SA"/>
              </w:rPr>
              <w:t>CGPA</w:t>
            </w:r>
          </w:p>
        </w:tc>
      </w:tr>
      <w:tr>
        <w:trPr/>
        <w:tc>
          <w:tcPr>
            <w:tcW w:w="3482" w:type="dxa"/>
            <w:tcBorders/>
          </w:tcPr>
          <w:p>
            <w:pPr>
              <w:pStyle w:val="ListParagraph"/>
              <w:widowControl/>
              <w:suppressAutoHyphens w:val="true"/>
              <w:spacing w:before="0" w:after="200"/>
              <w:ind w:left="0"/>
              <w:contextualSpacing/>
              <w:jc w:val="both"/>
              <w:rPr>
                <w:rFonts w:ascii="arial" w:hAnsi="arial"/>
              </w:rPr>
            </w:pPr>
            <w:r>
              <w:rPr>
                <w:rFonts w:cs="" w:ascii="arial" w:hAnsi="arial"/>
                <w:kern w:val="0"/>
                <w:sz w:val="24"/>
                <w:szCs w:val="24"/>
                <w:lang w:eastAsia="en-US" w:bidi="ar-SA"/>
              </w:rPr>
              <w:t>First Class</w:t>
            </w:r>
          </w:p>
        </w:tc>
        <w:tc>
          <w:tcPr>
            <w:tcW w:w="1420"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4.50 – 5.00</w:t>
            </w:r>
          </w:p>
        </w:tc>
      </w:tr>
      <w:tr>
        <w:trPr/>
        <w:tc>
          <w:tcPr>
            <w:tcW w:w="3482" w:type="dxa"/>
            <w:tcBorders/>
          </w:tcPr>
          <w:p>
            <w:pPr>
              <w:pStyle w:val="ListParagraph"/>
              <w:widowControl/>
              <w:suppressAutoHyphens w:val="true"/>
              <w:spacing w:before="0" w:after="200"/>
              <w:ind w:left="0"/>
              <w:contextualSpacing/>
              <w:jc w:val="both"/>
              <w:rPr>
                <w:rFonts w:ascii="arial" w:hAnsi="arial"/>
              </w:rPr>
            </w:pPr>
            <w:r>
              <w:rPr>
                <w:rFonts w:cs="" w:ascii="arial" w:hAnsi="arial"/>
                <w:kern w:val="0"/>
                <w:sz w:val="24"/>
                <w:szCs w:val="24"/>
                <w:lang w:eastAsia="en-US" w:bidi="ar-SA"/>
              </w:rPr>
              <w:t>Second Class (Upper Division)</w:t>
            </w:r>
          </w:p>
        </w:tc>
        <w:tc>
          <w:tcPr>
            <w:tcW w:w="1420"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3.50 – 4.49</w:t>
            </w:r>
          </w:p>
        </w:tc>
      </w:tr>
      <w:tr>
        <w:trPr/>
        <w:tc>
          <w:tcPr>
            <w:tcW w:w="3482" w:type="dxa"/>
            <w:tcBorders/>
          </w:tcPr>
          <w:p>
            <w:pPr>
              <w:pStyle w:val="ListParagraph"/>
              <w:widowControl/>
              <w:suppressAutoHyphens w:val="true"/>
              <w:spacing w:before="0" w:after="200"/>
              <w:ind w:left="0"/>
              <w:contextualSpacing/>
              <w:jc w:val="both"/>
              <w:rPr>
                <w:rFonts w:ascii="arial" w:hAnsi="arial"/>
              </w:rPr>
            </w:pPr>
            <w:r>
              <w:rPr>
                <w:rFonts w:cs="" w:ascii="arial" w:hAnsi="arial"/>
                <w:kern w:val="0"/>
                <w:sz w:val="24"/>
                <w:szCs w:val="24"/>
                <w:lang w:eastAsia="en-US" w:bidi="ar-SA"/>
              </w:rPr>
              <w:t>Second Class (Lower Division)</w:t>
            </w:r>
          </w:p>
        </w:tc>
        <w:tc>
          <w:tcPr>
            <w:tcW w:w="1420"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2.40 – 3.49</w:t>
            </w:r>
          </w:p>
        </w:tc>
      </w:tr>
      <w:tr>
        <w:trPr/>
        <w:tc>
          <w:tcPr>
            <w:tcW w:w="3482" w:type="dxa"/>
            <w:tcBorders/>
          </w:tcPr>
          <w:p>
            <w:pPr>
              <w:pStyle w:val="ListParagraph"/>
              <w:widowControl/>
              <w:suppressAutoHyphens w:val="true"/>
              <w:spacing w:before="0" w:after="200"/>
              <w:ind w:left="0"/>
              <w:contextualSpacing/>
              <w:jc w:val="both"/>
              <w:rPr>
                <w:rFonts w:ascii="arial" w:hAnsi="arial"/>
              </w:rPr>
            </w:pPr>
            <w:r>
              <w:rPr>
                <w:rFonts w:cs="" w:ascii="arial" w:hAnsi="arial"/>
                <w:kern w:val="0"/>
                <w:sz w:val="24"/>
                <w:szCs w:val="24"/>
                <w:lang w:eastAsia="en-US" w:bidi="ar-SA"/>
              </w:rPr>
              <w:t>Third Class</w:t>
            </w:r>
          </w:p>
        </w:tc>
        <w:tc>
          <w:tcPr>
            <w:tcW w:w="1420"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1.50 – 2.39</w:t>
            </w:r>
          </w:p>
        </w:tc>
      </w:tr>
      <w:tr>
        <w:trPr/>
        <w:tc>
          <w:tcPr>
            <w:tcW w:w="3482" w:type="dxa"/>
            <w:tcBorders/>
          </w:tcPr>
          <w:p>
            <w:pPr>
              <w:pStyle w:val="ListParagraph"/>
              <w:widowControl/>
              <w:suppressAutoHyphens w:val="true"/>
              <w:spacing w:before="0" w:after="200"/>
              <w:ind w:left="0"/>
              <w:contextualSpacing/>
              <w:jc w:val="both"/>
              <w:rPr>
                <w:rFonts w:ascii="arial" w:hAnsi="arial"/>
              </w:rPr>
            </w:pPr>
            <w:r>
              <w:rPr>
                <w:rFonts w:cs="" w:ascii="arial" w:hAnsi="arial"/>
                <w:kern w:val="0"/>
                <w:sz w:val="24"/>
                <w:szCs w:val="24"/>
                <w:lang w:eastAsia="en-US" w:bidi="ar-SA"/>
              </w:rPr>
              <w:t>Fail</w:t>
            </w:r>
          </w:p>
        </w:tc>
        <w:tc>
          <w:tcPr>
            <w:tcW w:w="1420" w:type="dxa"/>
            <w:tcBorders/>
          </w:tcPr>
          <w:p>
            <w:pPr>
              <w:pStyle w:val="ListParagraph"/>
              <w:widowControl/>
              <w:suppressAutoHyphens w:val="true"/>
              <w:spacing w:before="0" w:after="200"/>
              <w:ind w:left="0"/>
              <w:contextualSpacing/>
              <w:jc w:val="right"/>
              <w:rPr>
                <w:rFonts w:ascii="arial" w:hAnsi="arial"/>
              </w:rPr>
            </w:pPr>
            <w:r>
              <w:rPr>
                <w:rFonts w:cs="" w:ascii="arial" w:hAnsi="arial"/>
                <w:kern w:val="0"/>
                <w:sz w:val="24"/>
                <w:szCs w:val="24"/>
                <w:lang w:eastAsia="en-US" w:bidi="ar-SA"/>
              </w:rPr>
              <w:t>0 – 1.49</w:t>
            </w:r>
          </w:p>
        </w:tc>
      </w:tr>
    </w:tbl>
    <w:p>
      <w:pPr>
        <w:pStyle w:val="ListParagraph"/>
        <w:ind w:left="426"/>
        <w:jc w:val="both"/>
        <w:rPr>
          <w:rFonts w:ascii="arial" w:hAnsi="arial"/>
          <w:sz w:val="24"/>
          <w:szCs w:val="24"/>
        </w:rPr>
      </w:pPr>
      <w:r>
        <w:rPr>
          <w:rFonts w:ascii="arial" w:hAnsi="arial"/>
          <w:sz w:val="24"/>
          <w:szCs w:val="24"/>
        </w:rPr>
      </w:r>
    </w:p>
    <w:p>
      <w:pPr>
        <w:pStyle w:val="ListParagraph"/>
        <w:numPr>
          <w:ilvl w:val="1"/>
          <w:numId w:val="12"/>
        </w:numPr>
        <w:jc w:val="both"/>
        <w:rPr>
          <w:rFonts w:ascii="arial" w:hAnsi="arial"/>
        </w:rPr>
      </w:pPr>
      <w:r>
        <w:rPr>
          <w:rFonts w:ascii="arial" w:hAnsi="arial"/>
          <w:b/>
          <w:sz w:val="24"/>
          <w:szCs w:val="24"/>
        </w:rPr>
        <w:t>RULES FOR THE CONDUCT OF EXAMINATIONS</w:t>
      </w:r>
    </w:p>
    <w:p>
      <w:pPr>
        <w:pStyle w:val="ListParagraph"/>
        <w:numPr>
          <w:ilvl w:val="0"/>
          <w:numId w:val="13"/>
        </w:numPr>
        <w:jc w:val="both"/>
        <w:rPr>
          <w:rFonts w:ascii="arial" w:hAnsi="arial"/>
        </w:rPr>
      </w:pPr>
      <w:r>
        <w:rPr>
          <w:rFonts w:ascii="arial" w:hAnsi="arial"/>
          <w:b/>
          <w:sz w:val="24"/>
          <w:szCs w:val="24"/>
        </w:rPr>
        <w:t>General Rules</w:t>
      </w:r>
    </w:p>
    <w:p>
      <w:pPr>
        <w:pStyle w:val="ListParagraph"/>
        <w:ind w:left="1146"/>
        <w:jc w:val="both"/>
        <w:rPr>
          <w:rFonts w:ascii="arial" w:hAnsi="arial"/>
        </w:rPr>
      </w:pPr>
      <w:r>
        <w:rPr>
          <w:rFonts w:ascii="arial" w:hAnsi="arial"/>
          <w:sz w:val="24"/>
          <w:szCs w:val="24"/>
        </w:rPr>
        <w:t xml:space="preserve">It is the responsibility of students intending to take any university examination to ascertain the date, time and venue of the examination as indicated on the university examination timetable. </w:t>
      </w:r>
    </w:p>
    <w:p>
      <w:pPr>
        <w:pStyle w:val="ListParagraph"/>
        <w:ind w:left="1146"/>
        <w:jc w:val="both"/>
        <w:rPr>
          <w:rFonts w:ascii="arial" w:hAnsi="arial"/>
          <w:sz w:val="24"/>
          <w:szCs w:val="24"/>
        </w:rPr>
      </w:pPr>
      <w:r>
        <w:rPr>
          <w:rFonts w:ascii="arial" w:hAnsi="arial"/>
          <w:sz w:val="24"/>
          <w:szCs w:val="24"/>
        </w:rPr>
      </w:r>
    </w:p>
    <w:p>
      <w:pPr>
        <w:pStyle w:val="ListParagraph"/>
        <w:ind w:left="1146"/>
        <w:jc w:val="both"/>
        <w:rPr>
          <w:rFonts w:ascii="arial" w:hAnsi="arial"/>
        </w:rPr>
      </w:pPr>
      <w:r>
        <w:rPr>
          <w:rFonts w:ascii="arial" w:hAnsi="arial"/>
          <w:sz w:val="24"/>
          <w:szCs w:val="24"/>
        </w:rPr>
        <w:t>Students must present themselves at the venue of the examination venue not later than thirty (30) minutes to the scheduled time of commencement of the examination.</w:t>
      </w:r>
    </w:p>
    <w:p>
      <w:pPr>
        <w:pStyle w:val="ListParagraph"/>
        <w:ind w:left="1146"/>
        <w:jc w:val="both"/>
        <w:rPr>
          <w:rFonts w:ascii="arial" w:hAnsi="arial"/>
        </w:rPr>
      </w:pPr>
      <w:r>
        <w:rPr>
          <w:rFonts w:ascii="arial" w:hAnsi="arial"/>
          <w:sz w:val="24"/>
          <w:szCs w:val="24"/>
        </w:rPr>
        <w:t xml:space="preserve">Students will not be permitted to start an examination until formally instructed to do so by the examiner/invigilator in charge of the examination. Students who wish to leave the examination hall must obtain permission from the examiner/invigilator before doing so. </w:t>
      </w:r>
    </w:p>
    <w:p>
      <w:pPr>
        <w:pStyle w:val="ListParagraph"/>
        <w:ind w:left="1146"/>
        <w:jc w:val="both"/>
        <w:rPr>
          <w:rFonts w:ascii="arial" w:hAnsi="arial"/>
        </w:rPr>
      </w:pPr>
      <w:r>
        <w:rPr>
          <w:rFonts w:ascii="arial" w:hAnsi="arial"/>
          <w:sz w:val="24"/>
          <w:szCs w:val="24"/>
        </w:rPr>
        <w:t>A student permitted to leave an examination hall temporary must hand in his/her question paper(s) and answer scripts to the examiner/invigilator.</w:t>
      </w:r>
    </w:p>
    <w:p>
      <w:pPr>
        <w:pStyle w:val="ListParagraph"/>
        <w:numPr>
          <w:ilvl w:val="0"/>
          <w:numId w:val="13"/>
        </w:numPr>
        <w:jc w:val="both"/>
        <w:rPr>
          <w:rFonts w:ascii="arial" w:hAnsi="arial"/>
        </w:rPr>
      </w:pPr>
      <w:r>
        <w:rPr>
          <w:rFonts w:ascii="arial" w:hAnsi="arial"/>
          <w:sz w:val="24"/>
          <w:szCs w:val="24"/>
        </w:rPr>
        <w:t>Students may only take materials or manuscripts into the examination hall when it has been previously announced and when it is stated in the instructions on the question paper.</w:t>
      </w:r>
    </w:p>
    <w:p>
      <w:pPr>
        <w:pStyle w:val="ListParagraph"/>
        <w:numPr>
          <w:ilvl w:val="0"/>
          <w:numId w:val="13"/>
        </w:numPr>
        <w:jc w:val="both"/>
        <w:rPr>
          <w:rFonts w:ascii="arial" w:hAnsi="arial"/>
        </w:rPr>
      </w:pPr>
      <w:r>
        <w:rPr>
          <w:rFonts w:ascii="arial" w:hAnsi="arial"/>
          <w:sz w:val="24"/>
          <w:szCs w:val="24"/>
        </w:rPr>
        <w:t xml:space="preserve">All brief cases, bags, folders and other materials not associated with the examination must not be brought to the examination hall. </w:t>
      </w:r>
    </w:p>
    <w:p>
      <w:pPr>
        <w:pStyle w:val="ListParagraph"/>
        <w:numPr>
          <w:ilvl w:val="0"/>
          <w:numId w:val="13"/>
        </w:numPr>
        <w:jc w:val="both"/>
        <w:rPr>
          <w:rFonts w:ascii="arial" w:hAnsi="arial"/>
        </w:rPr>
      </w:pPr>
      <w:r>
        <w:rPr>
          <w:rFonts w:ascii="arial" w:hAnsi="arial"/>
          <w:sz w:val="24"/>
          <w:szCs w:val="24"/>
        </w:rPr>
        <w:t>The use mobile phones, electronic programmable calculators, information storage devices, calculators, instruction manuals, textbooks, atlases, lecture notebooks etc. are not allowed in the examination hall.</w:t>
      </w:r>
    </w:p>
    <w:p>
      <w:pPr>
        <w:pStyle w:val="ListParagraph"/>
        <w:numPr>
          <w:ilvl w:val="0"/>
          <w:numId w:val="13"/>
        </w:numPr>
        <w:jc w:val="both"/>
        <w:rPr>
          <w:rFonts w:ascii="arial" w:hAnsi="arial"/>
        </w:rPr>
      </w:pPr>
      <w:r>
        <w:rPr>
          <w:rFonts w:ascii="arial" w:hAnsi="arial"/>
          <w:sz w:val="24"/>
          <w:szCs w:val="24"/>
        </w:rPr>
        <w:t xml:space="preserve">Students must remain in the designated desk assigned to them by the examiner/invigilator. Swapping of seats during examinations shall not be allowed. </w:t>
      </w:r>
    </w:p>
    <w:p>
      <w:pPr>
        <w:pStyle w:val="ListParagraph"/>
        <w:numPr>
          <w:ilvl w:val="0"/>
          <w:numId w:val="13"/>
        </w:numPr>
        <w:jc w:val="both"/>
        <w:rPr>
          <w:rFonts w:ascii="arial" w:hAnsi="arial"/>
        </w:rPr>
      </w:pPr>
      <w:r>
        <w:rPr>
          <w:rFonts w:ascii="arial" w:hAnsi="arial"/>
          <w:sz w:val="24"/>
          <w:szCs w:val="24"/>
        </w:rPr>
        <w:t>Students must sign on the attendance register provided by the examiner/invigilator. It is the duty of the student to ensure that he/she completes the attendance register provided.</w:t>
      </w:r>
    </w:p>
    <w:p>
      <w:pPr>
        <w:pStyle w:val="ListParagraph"/>
        <w:numPr>
          <w:ilvl w:val="0"/>
          <w:numId w:val="13"/>
        </w:numPr>
        <w:jc w:val="both"/>
        <w:rPr>
          <w:rFonts w:ascii="arial" w:hAnsi="arial"/>
        </w:rPr>
      </w:pPr>
      <w:r>
        <w:rPr>
          <w:rFonts w:ascii="arial" w:hAnsi="arial"/>
          <w:sz w:val="24"/>
          <w:szCs w:val="24"/>
        </w:rPr>
        <w:t>At the end of the examination, students must ensure that their answer scripts are handed over to the examiner/invigilator before leaving the examination hall.</w:t>
      </w:r>
    </w:p>
    <w:p>
      <w:pPr>
        <w:pStyle w:val="ListParagraph"/>
        <w:numPr>
          <w:ilvl w:val="0"/>
          <w:numId w:val="13"/>
        </w:numPr>
        <w:jc w:val="both"/>
        <w:rPr>
          <w:rFonts w:ascii="arial" w:hAnsi="arial"/>
        </w:rPr>
      </w:pPr>
      <w:r>
        <w:rPr>
          <w:rFonts w:ascii="arial" w:hAnsi="arial"/>
          <w:sz w:val="24"/>
          <w:szCs w:val="24"/>
        </w:rPr>
        <w:t>Smoking, chewing of gums and the consumption of food and drinks are not permitted during examinations.</w:t>
      </w:r>
    </w:p>
    <w:p>
      <w:pPr>
        <w:pStyle w:val="ListParagraph"/>
        <w:numPr>
          <w:ilvl w:val="0"/>
          <w:numId w:val="13"/>
        </w:numPr>
        <w:jc w:val="both"/>
        <w:rPr>
          <w:rFonts w:ascii="arial" w:hAnsi="arial"/>
        </w:rPr>
      </w:pPr>
      <w:r>
        <w:rPr>
          <w:rFonts w:ascii="arial" w:hAnsi="arial"/>
          <w:sz w:val="24"/>
          <w:szCs w:val="24"/>
        </w:rPr>
        <w:t>All questions in written examinations must be answered in simple English except the instructions on the question paper indicates otherwise.</w:t>
      </w:r>
    </w:p>
    <w:p>
      <w:pPr>
        <w:pStyle w:val="ListParagraph"/>
        <w:numPr>
          <w:ilvl w:val="0"/>
          <w:numId w:val="13"/>
        </w:numPr>
        <w:jc w:val="both"/>
        <w:rPr>
          <w:rFonts w:ascii="arial" w:hAnsi="arial"/>
        </w:rPr>
      </w:pPr>
      <w:r>
        <w:rPr>
          <w:rFonts w:ascii="arial" w:hAnsi="arial"/>
          <w:sz w:val="24"/>
          <w:szCs w:val="24"/>
        </w:rPr>
        <w:t xml:space="preserve">It is an academic offence punishable by expulsion from the university for any student to prevent other students from taking scheduled University examinations or cause obstruction to examination processes. </w:t>
      </w:r>
    </w:p>
    <w:p>
      <w:pPr>
        <w:pStyle w:val="ListParagraph"/>
        <w:jc w:val="both"/>
        <w:rPr>
          <w:rFonts w:ascii="arial" w:hAnsi="arial"/>
        </w:rPr>
      </w:pPr>
      <w:r>
        <w:rPr>
          <w:rFonts w:ascii="arial" w:hAnsi="arial"/>
        </w:rPr>
      </w:r>
    </w:p>
    <w:p>
      <w:pPr>
        <w:pStyle w:val="ListParagraph"/>
        <w:numPr>
          <w:ilvl w:val="1"/>
          <w:numId w:val="12"/>
        </w:numPr>
        <w:jc w:val="both"/>
        <w:rPr>
          <w:rFonts w:ascii="arial" w:hAnsi="arial"/>
        </w:rPr>
      </w:pPr>
      <w:r>
        <w:rPr>
          <w:rFonts w:ascii="arial" w:hAnsi="arial"/>
          <w:b/>
          <w:bCs/>
          <w:caps/>
          <w:sz w:val="24"/>
          <w:szCs w:val="24"/>
        </w:rPr>
        <w:t>Procedures for the Handling of Examination offences</w:t>
      </w:r>
    </w:p>
    <w:p>
      <w:pPr>
        <w:pStyle w:val="ListParagraph"/>
        <w:numPr>
          <w:ilvl w:val="0"/>
          <w:numId w:val="14"/>
        </w:numPr>
        <w:jc w:val="both"/>
        <w:rPr>
          <w:rFonts w:ascii="arial" w:hAnsi="arial"/>
        </w:rPr>
      </w:pPr>
      <w:r>
        <w:rPr>
          <w:rFonts w:ascii="arial" w:hAnsi="arial"/>
          <w:bCs/>
          <w:sz w:val="24"/>
          <w:szCs w:val="24"/>
        </w:rPr>
        <w:t>The attention of any other invigilator present should be drawn to the suspicious circumstance(s), if an examiner/invigilator suspects that a students has committed examination malpractice/offence. If another student suspects that there is misconduct, he/she should alert the examiner/invigilator.</w:t>
      </w:r>
    </w:p>
    <w:p>
      <w:pPr>
        <w:pStyle w:val="ListParagraph"/>
        <w:numPr>
          <w:ilvl w:val="0"/>
          <w:numId w:val="14"/>
        </w:numPr>
        <w:jc w:val="both"/>
        <w:rPr>
          <w:rFonts w:ascii="arial" w:hAnsi="arial"/>
        </w:rPr>
      </w:pPr>
      <w:r>
        <w:rPr>
          <w:rFonts w:ascii="arial" w:hAnsi="arial"/>
          <w:sz w:val="24"/>
          <w:szCs w:val="24"/>
        </w:rPr>
        <w:t xml:space="preserve">The </w:t>
      </w:r>
      <w:r>
        <w:rPr>
          <w:rFonts w:ascii="arial" w:hAnsi="arial"/>
          <w:bCs/>
          <w:sz w:val="24"/>
          <w:szCs w:val="24"/>
        </w:rPr>
        <w:t>examiner/invigilator should approach the suspected student and inform him/her of the suspicion and give the student an opportunity to make written a written statement on the prescribed examination malpractice form. The refusal of the student to make a written statement shall constitute an offence.</w:t>
      </w:r>
    </w:p>
    <w:p>
      <w:pPr>
        <w:pStyle w:val="ListParagraph"/>
        <w:numPr>
          <w:ilvl w:val="0"/>
          <w:numId w:val="14"/>
        </w:numPr>
        <w:jc w:val="both"/>
        <w:rPr>
          <w:rFonts w:ascii="arial" w:hAnsi="arial"/>
        </w:rPr>
      </w:pPr>
      <w:r>
        <w:rPr>
          <w:rFonts w:ascii="arial" w:hAnsi="arial"/>
          <w:bCs/>
          <w:sz w:val="24"/>
          <w:szCs w:val="24"/>
        </w:rPr>
        <w:t>The examiner/invigilator shall allow the student continue with the examination after completing the malpractice form. If any unauthorised material is discovered with the student, it should be confiscated by the examiner/invigilator and entered as exhibit/evidence against the student.</w:t>
      </w:r>
    </w:p>
    <w:p>
      <w:pPr>
        <w:pStyle w:val="ListParagraph"/>
        <w:numPr>
          <w:ilvl w:val="0"/>
          <w:numId w:val="14"/>
        </w:numPr>
        <w:jc w:val="both"/>
        <w:rPr>
          <w:rFonts w:ascii="arial" w:hAnsi="arial"/>
        </w:rPr>
      </w:pPr>
      <w:r>
        <w:rPr>
          <w:rFonts w:ascii="arial" w:hAnsi="arial"/>
          <w:bCs/>
          <w:sz w:val="24"/>
          <w:szCs w:val="24"/>
        </w:rPr>
        <w:t>Within twenty four (24) hours of the conduct of the examination, the examiner/invigilator(s) should make a written report on the incidence to the Chief Examiner of the Department, the Head of Department.</w:t>
      </w:r>
    </w:p>
    <w:p>
      <w:pPr>
        <w:pStyle w:val="ListParagraph"/>
        <w:numPr>
          <w:ilvl w:val="0"/>
          <w:numId w:val="14"/>
        </w:numPr>
        <w:jc w:val="both"/>
        <w:rPr>
          <w:rFonts w:ascii="arial" w:hAnsi="arial"/>
        </w:rPr>
      </w:pPr>
      <w:r>
        <w:rPr>
          <w:rFonts w:ascii="arial" w:hAnsi="arial"/>
          <w:bCs/>
          <w:sz w:val="24"/>
          <w:szCs w:val="24"/>
        </w:rPr>
        <w:t>The written account of the incidence, by the examiner/invigilator(s), any unauthorised material confiscated by the examiner/invigilator(s), the names of other student(s)(if needed in evidence) and the student’s statement must be be submitted in confidential cover by the Chief Examiner to the Dean of Faculty who shall forward it through the registrar to the central students disciplinary committee within twenty four (24) hours at the end of the course examination.</w:t>
      </w:r>
    </w:p>
    <w:p>
      <w:pPr>
        <w:pStyle w:val="ListParagraph"/>
        <w:numPr>
          <w:ilvl w:val="0"/>
          <w:numId w:val="14"/>
        </w:numPr>
        <w:jc w:val="both"/>
        <w:rPr>
          <w:rFonts w:ascii="arial" w:hAnsi="arial"/>
        </w:rPr>
      </w:pPr>
      <w:r>
        <w:rPr>
          <w:rFonts w:ascii="arial" w:hAnsi="arial"/>
          <w:bCs/>
          <w:sz w:val="24"/>
          <w:szCs w:val="24"/>
        </w:rPr>
        <w:t>During the marking, moderation, collation of examination materials, if the examiner of a member of staff suspects that malpractice has taken place, the examiner or member of staff must confer with the Chief Examiner(Head of Department). As soon as a prima facie case is established that malpractice did occur, the examiner or member of staff must submit a written report with the student’s scripts and any other corroborating evidence to the Dean of Faculty, through the Head of department, within seventy two (72) hours. The report must be sent to the Students’ Disciplinary Committee through the Registrar. The student so affected must immediately be informed of the allegation and made to submit a written statement which shall form part of the report sent to the Senate Students’ disciplinary Committee.</w:t>
      </w:r>
    </w:p>
    <w:p>
      <w:pPr>
        <w:pStyle w:val="ListParagraph"/>
        <w:numPr>
          <w:ilvl w:val="0"/>
          <w:numId w:val="14"/>
        </w:numPr>
        <w:jc w:val="both"/>
        <w:rPr>
          <w:rFonts w:ascii="arial" w:hAnsi="arial"/>
        </w:rPr>
      </w:pPr>
      <w:r>
        <w:rPr>
          <w:rFonts w:ascii="arial" w:hAnsi="arial"/>
          <w:bCs/>
          <w:sz w:val="24"/>
          <w:szCs w:val="24"/>
        </w:rPr>
        <w:t>The student shall be invited to appear before the Senate Students’ disciplinary Committee</w:t>
      </w:r>
    </w:p>
    <w:p>
      <w:pPr>
        <w:pStyle w:val="ListParagraph"/>
        <w:numPr>
          <w:ilvl w:val="0"/>
          <w:numId w:val="14"/>
        </w:numPr>
        <w:jc w:val="both"/>
        <w:rPr>
          <w:rFonts w:ascii="arial" w:hAnsi="arial"/>
        </w:rPr>
      </w:pPr>
      <w:r>
        <w:rPr>
          <w:rFonts w:ascii="arial" w:hAnsi="arial"/>
          <w:bCs/>
          <w:sz w:val="24"/>
          <w:szCs w:val="24"/>
        </w:rPr>
        <w:t>The decision of the Senate Students’ disciplinary Committee shall be conveyed to the student within seventy two (72) hours.</w:t>
      </w:r>
    </w:p>
    <w:p>
      <w:pPr>
        <w:pStyle w:val="ListParagraph"/>
        <w:numPr>
          <w:ilvl w:val="0"/>
          <w:numId w:val="14"/>
        </w:numPr>
        <w:jc w:val="both"/>
        <w:rPr>
          <w:rFonts w:ascii="arial" w:hAnsi="arial"/>
        </w:rPr>
      </w:pPr>
      <w:r>
        <w:rPr>
          <w:rFonts w:ascii="arial" w:hAnsi="arial"/>
          <w:bCs/>
          <w:sz w:val="24"/>
          <w:szCs w:val="24"/>
        </w:rPr>
        <w:t>All cases of suspected examination malpractice must be disposed of within the shortest possible time, but not later than three (3) months</w:t>
      </w:r>
    </w:p>
    <w:p>
      <w:pPr>
        <w:pStyle w:val="ListParagraph"/>
        <w:numPr>
          <w:ilvl w:val="0"/>
          <w:numId w:val="14"/>
        </w:numPr>
        <w:jc w:val="both"/>
        <w:rPr>
          <w:rFonts w:ascii="arial" w:hAnsi="arial"/>
        </w:rPr>
      </w:pPr>
      <w:r>
        <w:rPr>
          <w:rFonts w:ascii="arial" w:hAnsi="arial"/>
          <w:bCs/>
          <w:sz w:val="24"/>
          <w:szCs w:val="24"/>
        </w:rPr>
        <w:t>All materials confiscated from student in proven cases of malpractice shall be kept by the University until the punishment is served.</w:t>
      </w:r>
    </w:p>
    <w:p>
      <w:pPr>
        <w:pStyle w:val="ListParagraph"/>
        <w:numPr>
          <w:ilvl w:val="0"/>
          <w:numId w:val="0"/>
        </w:numPr>
        <w:ind w:hanging="0" w:left="1146"/>
        <w:jc w:val="both"/>
        <w:rPr>
          <w:rFonts w:ascii="arial" w:hAnsi="arial"/>
        </w:rPr>
      </w:pPr>
      <w:r>
        <w:rPr>
          <w:rFonts w:ascii="arial" w:hAnsi="arial"/>
        </w:rPr>
      </w:r>
    </w:p>
    <w:p>
      <w:pPr>
        <w:pStyle w:val="ListParagraph"/>
        <w:numPr>
          <w:ilvl w:val="1"/>
          <w:numId w:val="12"/>
        </w:numPr>
        <w:jc w:val="both"/>
        <w:rPr>
          <w:rFonts w:ascii="arial" w:hAnsi="arial"/>
        </w:rPr>
      </w:pPr>
      <w:r>
        <w:rPr>
          <w:rFonts w:ascii="arial" w:hAnsi="arial"/>
          <w:b/>
          <w:sz w:val="24"/>
          <w:szCs w:val="24"/>
        </w:rPr>
        <w:t>PERSONNEL ADMINISTRATION</w:t>
      </w:r>
    </w:p>
    <w:p>
      <w:pPr>
        <w:pStyle w:val="ListParagraph"/>
        <w:ind w:left="426"/>
        <w:jc w:val="both"/>
        <w:rPr>
          <w:rFonts w:ascii="arial" w:hAnsi="arial"/>
        </w:rPr>
      </w:pPr>
      <w:r>
        <w:rPr>
          <w:rFonts w:ascii="arial" w:hAnsi="arial"/>
          <w:sz w:val="24"/>
          <w:szCs w:val="24"/>
        </w:rPr>
        <w:t xml:space="preserve">The administrative head of the department is the Head of Department (HOD). The HOD has a secretary to assist him. The departmental board is the decision and policy making body of the department. The head of department implements decision through a committee system constituted by the Departmental Board. The departmental board reports to the faculty board which reports to the Senate of the University. </w:t>
      </w:r>
    </w:p>
    <w:p>
      <w:pPr>
        <w:pStyle w:val="ListParagraph"/>
        <w:ind w:left="426"/>
        <w:jc w:val="both"/>
        <w:rPr>
          <w:rFonts w:ascii="arial" w:hAnsi="arial"/>
          <w:sz w:val="24"/>
          <w:szCs w:val="24"/>
        </w:rPr>
      </w:pPr>
      <w:r>
        <w:rPr>
          <w:rFonts w:ascii="arial" w:hAnsi="arial"/>
          <w:sz w:val="24"/>
          <w:szCs w:val="24"/>
        </w:rPr>
      </w:r>
    </w:p>
    <w:p>
      <w:pPr>
        <w:pStyle w:val="ListParagraph"/>
        <w:ind w:firstLine="294" w:left="2586"/>
        <w:jc w:val="both"/>
        <w:rPr>
          <w:rFonts w:ascii="arial" w:hAnsi="arial"/>
          <w:sz w:val="24"/>
          <w:szCs w:val="24"/>
        </w:rPr>
      </w:pPr>
      <w:r>
        <w:rPr>
          <w:rFonts w:ascii="arial" w:hAnsi="arial"/>
          <w:sz w:val="24"/>
          <w:szCs w:val="24"/>
        </w:rPr>
      </w:r>
    </w:p>
    <w:p>
      <w:pPr>
        <w:pStyle w:val="ListParagraph"/>
        <w:ind w:firstLine="294" w:left="2586"/>
        <w:jc w:val="both"/>
        <w:rPr>
          <w:rFonts w:ascii="arial" w:hAnsi="arial"/>
          <w:sz w:val="24"/>
          <w:szCs w:val="24"/>
        </w:rPr>
      </w:pPr>
      <w:r>
        <w:rPr>
          <w:rFonts w:ascii="arial" w:hAnsi="arial"/>
          <w:sz w:val="24"/>
          <w:szCs w:val="24"/>
        </w:rPr>
      </w:r>
    </w:p>
    <w:p>
      <w:pPr>
        <w:pStyle w:val="ListParagraph"/>
        <w:ind w:left="426"/>
        <w:jc w:val="both"/>
        <w:rPr>
          <w:rFonts w:ascii="arial" w:hAnsi="arial"/>
        </w:rPr>
      </w:pPr>
      <w:r>
        <w:rPr/>
        <w:drawing>
          <wp:inline distT="0" distB="0" distL="0" distR="0" wp14:anchorId="5B05E2B3">
            <wp:extent cx="5486400" cy="3200400"/>
            <wp:effectExtent l="0" t="25400" r="0" b="76200"/>
            <wp:docPr id="3" name="Diagram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 r:lo="rId4" r:qs="rId5" r:cs="rId6"/>
              </a:graphicData>
            </a:graphic>
          </wp:inline>
        </w:drawing>
      </w:r>
    </w:p>
    <w:p>
      <w:pPr>
        <w:pStyle w:val="Normal"/>
        <w:jc w:val="both"/>
        <w:rPr>
          <w:rFonts w:ascii="arial" w:hAnsi="arial"/>
          <w:sz w:val="24"/>
          <w:szCs w:val="24"/>
        </w:rPr>
      </w:pPr>
      <w:r>
        <w:rPr>
          <w:rFonts w:ascii="arial" w:hAnsi="arial"/>
          <w:sz w:val="24"/>
          <w:szCs w:val="24"/>
        </w:rPr>
      </w:r>
    </w:p>
    <w:p>
      <w:pPr>
        <w:pStyle w:val="Normal"/>
        <w:spacing w:lineRule="auto" w:line="240" w:before="0" w:after="200"/>
        <w:contextualSpacing/>
        <w:jc w:val="center"/>
        <w:rPr>
          <w:rFonts w:ascii="arial" w:hAnsi="arial"/>
        </w:rPr>
      </w:pPr>
      <w:r>
        <w:rPr/>
      </w:r>
    </w:p>
    <w:p>
      <w:pPr>
        <w:pStyle w:val="Normal"/>
        <w:spacing w:lineRule="auto" w:line="240" w:before="0" w:after="200"/>
        <w:contextualSpacing/>
        <w:jc w:val="center"/>
        <w:rPr>
          <w:rFonts w:ascii="arial" w:hAnsi="arial" w:cs="Times New Roman"/>
          <w:sz w:val="12"/>
          <w:szCs w:val="12"/>
        </w:rPr>
      </w:pPr>
      <w:r>
        <w:rPr>
          <w:rFonts w:cs="Times New Roman" w:ascii="arial" w:hAnsi="arial"/>
          <w:sz w:val="12"/>
          <w:szCs w:val="12"/>
        </w:rPr>
      </w:r>
    </w:p>
    <w:p>
      <w:pPr>
        <w:pStyle w:val="Normal"/>
        <w:spacing w:before="0" w:after="100"/>
        <w:jc w:val="center"/>
        <w:rPr>
          <w:sz w:val="28"/>
          <w:szCs w:val="28"/>
        </w:rPr>
      </w:pPr>
      <w:r>
        <w:rPr>
          <w:rFonts w:eastAsia="Arial" w:cs="Arial" w:ascii="Arial" w:hAnsi="Arial"/>
          <w:b/>
          <w:bCs/>
          <w:color w:val="1F3864"/>
          <w:sz w:val="28"/>
          <w:szCs w:val="28"/>
        </w:rPr>
        <w:t xml:space="preserve">LIST OF COURSES FOR THE </w:t>
      </w:r>
      <w:r>
        <w:rPr>
          <w:rFonts w:eastAsia="Arial" w:cs="Arial" w:ascii="Arial" w:hAnsi="Arial"/>
          <w:b/>
          <w:bCs/>
          <w:color w:val="1F3864"/>
          <w:sz w:val="28"/>
          <w:szCs w:val="28"/>
        </w:rPr>
        <w:t>B.A. PHILOSOPHY PROGRAMME</w:t>
      </w:r>
    </w:p>
    <w:p>
      <w:pPr>
        <w:pStyle w:val="Normal"/>
        <w:spacing w:before="0" w:after="80"/>
        <w:jc w:val="center"/>
        <w:rPr/>
      </w:pPr>
      <w:r>
        <w:rPr>
          <w:rFonts w:eastAsia="Arial" w:cs="Arial" w:ascii="Arial" w:hAnsi="Arial"/>
          <w:b/>
          <w:bCs/>
          <w:color w:val="333333"/>
          <w:sz w:val="24"/>
          <w:szCs w:val="24"/>
        </w:rPr>
        <w:t>Course List — 2025/2026 Academic Session</w:t>
      </w:r>
    </w:p>
    <w:p>
      <w:pPr>
        <w:pStyle w:val="Normal"/>
        <w:spacing w:before="0" w:after="80"/>
        <w:jc w:val="center"/>
        <w:rPr>
          <w:rFonts w:ascii="Arial" w:hAnsi="Arial" w:eastAsia="Arial" w:cs="Arial"/>
          <w:i/>
          <w:iCs/>
          <w:color w:val="777777"/>
          <w:sz w:val="20"/>
          <w:szCs w:val="20"/>
        </w:rPr>
      </w:pPr>
      <w:r>
        <w:rPr/>
      </w:r>
    </w:p>
    <w:p>
      <w:pPr>
        <w:pStyle w:val="Normal"/>
        <w:spacing w:before="240" w:after="120"/>
        <w:rPr/>
      </w:pPr>
      <w:r>
        <w:rPr>
          <w:rFonts w:eastAsia="Arial" w:cs="Arial" w:ascii="Arial" w:hAnsi="Arial"/>
          <w:b/>
          <w:bCs/>
          <w:color w:val="1F3864"/>
          <w:sz w:val="26"/>
          <w:szCs w:val="26"/>
        </w:rPr>
        <w:t>YEAR ONE</w:t>
      </w:r>
    </w:p>
    <w:tbl>
      <w:tblPr>
        <w:tblW w:w="9032" w:type="dxa"/>
        <w:jc w:val="left"/>
        <w:tblInd w:w="121" w:type="dxa"/>
        <w:tblLayout w:type="fixed"/>
        <w:tblCellMar>
          <w:top w:w="80" w:type="dxa"/>
          <w:left w:w="120" w:type="dxa"/>
          <w:bottom w:w="80" w:type="dxa"/>
          <w:right w:w="120" w:type="dxa"/>
        </w:tblCellMar>
      </w:tblPr>
      <w:tblGrid>
        <w:gridCol w:w="673"/>
        <w:gridCol w:w="1228"/>
        <w:gridCol w:w="4971"/>
        <w:gridCol w:w="720"/>
        <w:gridCol w:w="1440"/>
      </w:tblGrid>
      <w:tr>
        <w:trPr>
          <w:tblHeader w:val="true"/>
        </w:trPr>
        <w:tc>
          <w:tcPr>
            <w:tcW w:w="673"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S/N</w:t>
            </w:r>
          </w:p>
        </w:tc>
        <w:tc>
          <w:tcPr>
            <w:tcW w:w="1228"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Course Code</w:t>
            </w:r>
          </w:p>
        </w:tc>
        <w:tc>
          <w:tcPr>
            <w:tcW w:w="4971"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Course Title</w:t>
            </w:r>
          </w:p>
        </w:tc>
        <w:tc>
          <w:tcPr>
            <w:tcW w:w="720" w:type="dxa"/>
            <w:tcBorders>
              <w:top w:val="single" w:sz="2" w:space="0" w:color="CCCCCC"/>
              <w:left w:val="single" w:sz="2" w:space="0" w:color="CCCCCC"/>
              <w:bottom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CU</w:t>
            </w:r>
          </w:p>
        </w:tc>
        <w:tc>
          <w:tcPr>
            <w:tcW w:w="1440"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 xml:space="preserve">Course </w:t>
            </w:r>
            <w:r>
              <w:rPr>
                <w:rFonts w:eastAsia="Arial" w:cs="Arial" w:ascii="Arial" w:hAnsi="Arial"/>
                <w:b/>
                <w:bCs/>
                <w:color w:val="FFFFFF"/>
                <w:sz w:val="20"/>
                <w:szCs w:val="20"/>
              </w:rPr>
              <w:t>Status</w:t>
            </w:r>
          </w:p>
        </w:tc>
      </w:tr>
      <w:tr>
        <w:trPr/>
        <w:tc>
          <w:tcPr>
            <w:tcW w:w="7592" w:type="dxa"/>
            <w:gridSpan w:val="4"/>
            <w:tcBorders>
              <w:top w:val="single" w:sz="2" w:space="0" w:color="CCCCCC"/>
              <w:left w:val="single" w:sz="2" w:space="0" w:color="CCCCCC"/>
              <w:bottom w:val="single" w:sz="2" w:space="0" w:color="CCCCCC"/>
            </w:tcBorders>
            <w:shd w:fill="D6E4F7" w:val="clear"/>
          </w:tcPr>
          <w:p>
            <w:pPr>
              <w:pStyle w:val="Normal"/>
              <w:spacing w:before="0" w:after="200"/>
              <w:rPr/>
            </w:pPr>
            <w:r>
              <w:rPr>
                <w:rFonts w:eastAsia="Arial" w:cs="Arial" w:ascii="Arial" w:hAnsi="Arial"/>
                <w:b/>
                <w:bCs/>
                <w:color w:val="1F3864"/>
                <w:sz w:val="20"/>
                <w:szCs w:val="20"/>
              </w:rPr>
              <w:t>First Semester</w:t>
            </w:r>
          </w:p>
        </w:tc>
        <w:tc>
          <w:tcPr>
            <w:tcW w:w="1440" w:type="dxa"/>
            <w:tcBorders>
              <w:top w:val="single" w:sz="2" w:space="0" w:color="CCCCCC"/>
              <w:left w:val="single" w:sz="2" w:space="0" w:color="CCCCCC"/>
              <w:bottom w:val="single" w:sz="2" w:space="0" w:color="CCCCCC"/>
              <w:right w:val="single" w:sz="2" w:space="0" w:color="CCCCCC"/>
            </w:tcBorders>
            <w:shd w:fill="D6E4F7" w:val="clear"/>
          </w:tcPr>
          <w:p>
            <w:pPr>
              <w:pStyle w:val="Normal"/>
              <w:spacing w:before="0" w:after="200"/>
              <w:rPr/>
            </w:pPr>
            <w:r>
              <w:rPr/>
            </w:r>
          </w:p>
        </w:tc>
      </w:tr>
      <w:tr>
        <w:trPr/>
        <w:tc>
          <w:tcPr>
            <w:tcW w:w="67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1</w:t>
            </w:r>
          </w:p>
        </w:tc>
        <w:tc>
          <w:tcPr>
            <w:tcW w:w="122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101</w:t>
            </w:r>
          </w:p>
        </w:tc>
        <w:tc>
          <w:tcPr>
            <w:tcW w:w="497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Introduction to Philosophy</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22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103</w:t>
            </w:r>
          </w:p>
        </w:tc>
        <w:tc>
          <w:tcPr>
            <w:tcW w:w="497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Elementary Ethics</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22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105</w:t>
            </w:r>
          </w:p>
        </w:tc>
        <w:tc>
          <w:tcPr>
            <w:tcW w:w="497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Ancient Philosophy I</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4</w:t>
            </w:r>
          </w:p>
        </w:tc>
        <w:tc>
          <w:tcPr>
            <w:tcW w:w="122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107</w:t>
            </w:r>
          </w:p>
        </w:tc>
        <w:tc>
          <w:tcPr>
            <w:tcW w:w="497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Introduction to Social and Political Philosophy</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5</w:t>
            </w:r>
          </w:p>
        </w:tc>
        <w:tc>
          <w:tcPr>
            <w:tcW w:w="122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109</w:t>
            </w:r>
          </w:p>
        </w:tc>
        <w:tc>
          <w:tcPr>
            <w:tcW w:w="497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Philosophy of Education</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6</w:t>
            </w:r>
          </w:p>
        </w:tc>
        <w:tc>
          <w:tcPr>
            <w:tcW w:w="122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111</w:t>
            </w:r>
          </w:p>
        </w:tc>
        <w:tc>
          <w:tcPr>
            <w:tcW w:w="497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Niger Delta Cultural Philosophy</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7</w:t>
            </w:r>
          </w:p>
        </w:tc>
        <w:tc>
          <w:tcPr>
            <w:tcW w:w="122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HID 105</w:t>
            </w:r>
          </w:p>
        </w:tc>
        <w:tc>
          <w:tcPr>
            <w:tcW w:w="497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Major World Civilizations</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8</w:t>
            </w:r>
          </w:p>
        </w:tc>
        <w:tc>
          <w:tcPr>
            <w:tcW w:w="122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ENG 105</w:t>
            </w:r>
          </w:p>
        </w:tc>
        <w:tc>
          <w:tcPr>
            <w:tcW w:w="497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Introduction to Language and Linguistics</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1228"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4971"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Fonts w:eastAsia="Arial" w:cs="Arial" w:ascii="Arial" w:hAnsi="Arial"/>
                <w:b/>
                <w:bCs/>
                <w:color w:val="000000"/>
                <w:sz w:val="20"/>
                <w:szCs w:val="20"/>
              </w:rPr>
              <w:t>Semester Total</w:t>
            </w:r>
          </w:p>
        </w:tc>
        <w:tc>
          <w:tcPr>
            <w:tcW w:w="720" w:type="dxa"/>
            <w:tcBorders>
              <w:top w:val="single" w:sz="2" w:space="0" w:color="CCCCCC"/>
              <w:left w:val="single" w:sz="2" w:space="0" w:color="CCCCCC"/>
              <w:bottom w:val="single" w:sz="2" w:space="0" w:color="CCCCCC"/>
            </w:tcBorders>
            <w:shd w:fill="F5F5F5" w:val="clear"/>
            <w:vAlign w:val="center"/>
          </w:tcPr>
          <w:p>
            <w:pPr>
              <w:pStyle w:val="Normal"/>
              <w:spacing w:before="0" w:after="200"/>
              <w:jc w:val="center"/>
              <w:rPr/>
            </w:pPr>
            <w:r>
              <w:rPr>
                <w:rFonts w:eastAsia="Arial" w:cs="Arial" w:ascii="Arial" w:hAnsi="Arial"/>
                <w:b/>
                <w:bCs/>
                <w:color w:val="000000"/>
                <w:sz w:val="20"/>
                <w:szCs w:val="20"/>
              </w:rPr>
              <w:t>19</w:t>
            </w:r>
          </w:p>
        </w:tc>
        <w:tc>
          <w:tcPr>
            <w:tcW w:w="1440"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center"/>
              <w:rPr/>
            </w:pPr>
            <w:r>
              <w:rPr/>
            </w:r>
          </w:p>
        </w:tc>
      </w:tr>
      <w:tr>
        <w:trPr/>
        <w:tc>
          <w:tcPr>
            <w:tcW w:w="7592" w:type="dxa"/>
            <w:gridSpan w:val="4"/>
            <w:tcBorders>
              <w:top w:val="single" w:sz="2" w:space="0" w:color="CCCCCC"/>
              <w:left w:val="single" w:sz="2" w:space="0" w:color="CCCCCC"/>
              <w:bottom w:val="single" w:sz="2" w:space="0" w:color="CCCCCC"/>
            </w:tcBorders>
            <w:shd w:fill="D6E4F7" w:val="clear"/>
          </w:tcPr>
          <w:p>
            <w:pPr>
              <w:pStyle w:val="Normal"/>
              <w:spacing w:before="0" w:after="200"/>
              <w:rPr/>
            </w:pPr>
            <w:r>
              <w:rPr>
                <w:rFonts w:eastAsia="Arial" w:cs="Arial" w:ascii="Arial" w:hAnsi="Arial"/>
                <w:b/>
                <w:bCs/>
                <w:color w:val="1F3864"/>
                <w:sz w:val="20"/>
                <w:szCs w:val="20"/>
              </w:rPr>
              <w:t>Second Semester</w:t>
            </w:r>
          </w:p>
        </w:tc>
        <w:tc>
          <w:tcPr>
            <w:tcW w:w="1440" w:type="dxa"/>
            <w:tcBorders>
              <w:top w:val="single" w:sz="2" w:space="0" w:color="CCCCCC"/>
              <w:left w:val="single" w:sz="2" w:space="0" w:color="CCCCCC"/>
              <w:bottom w:val="single" w:sz="2" w:space="0" w:color="CCCCCC"/>
              <w:right w:val="single" w:sz="2" w:space="0" w:color="CCCCCC"/>
            </w:tcBorders>
            <w:shd w:fill="D6E4F7" w:val="clear"/>
          </w:tcPr>
          <w:p>
            <w:pPr>
              <w:pStyle w:val="Normal"/>
              <w:spacing w:before="0" w:after="200"/>
              <w:rPr/>
            </w:pPr>
            <w:r>
              <w:rPr/>
            </w:r>
          </w:p>
        </w:tc>
      </w:tr>
      <w:tr>
        <w:trPr/>
        <w:tc>
          <w:tcPr>
            <w:tcW w:w="67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1</w:t>
            </w:r>
          </w:p>
        </w:tc>
        <w:tc>
          <w:tcPr>
            <w:tcW w:w="122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NDU-GST 104</w:t>
            </w:r>
          </w:p>
        </w:tc>
        <w:tc>
          <w:tcPr>
            <w:tcW w:w="497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Leadership, Citizenship and National Orientation</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22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GST 112</w:t>
            </w:r>
          </w:p>
        </w:tc>
        <w:tc>
          <w:tcPr>
            <w:tcW w:w="497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Nigeria People and Culture</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22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102</w:t>
            </w:r>
          </w:p>
        </w:tc>
        <w:tc>
          <w:tcPr>
            <w:tcW w:w="497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Arguments and Critical Thinking</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4</w:t>
            </w:r>
          </w:p>
        </w:tc>
        <w:tc>
          <w:tcPr>
            <w:tcW w:w="122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104</w:t>
            </w:r>
          </w:p>
        </w:tc>
        <w:tc>
          <w:tcPr>
            <w:tcW w:w="497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History of Philosophy</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5</w:t>
            </w:r>
          </w:p>
        </w:tc>
        <w:tc>
          <w:tcPr>
            <w:tcW w:w="122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106</w:t>
            </w:r>
          </w:p>
        </w:tc>
        <w:tc>
          <w:tcPr>
            <w:tcW w:w="497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Introduction to African Philosophy</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6</w:t>
            </w:r>
          </w:p>
        </w:tc>
        <w:tc>
          <w:tcPr>
            <w:tcW w:w="122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108</w:t>
            </w:r>
          </w:p>
        </w:tc>
        <w:tc>
          <w:tcPr>
            <w:tcW w:w="497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Introduction to Oriental Philosophy</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7</w:t>
            </w:r>
          </w:p>
        </w:tc>
        <w:tc>
          <w:tcPr>
            <w:tcW w:w="122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110</w:t>
            </w:r>
          </w:p>
        </w:tc>
        <w:tc>
          <w:tcPr>
            <w:tcW w:w="497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Philosophy of Religion</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8</w:t>
            </w:r>
          </w:p>
        </w:tc>
        <w:tc>
          <w:tcPr>
            <w:tcW w:w="122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112</w:t>
            </w:r>
          </w:p>
        </w:tc>
        <w:tc>
          <w:tcPr>
            <w:tcW w:w="497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Philosophy and Media Studies</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9</w:t>
            </w:r>
          </w:p>
        </w:tc>
        <w:tc>
          <w:tcPr>
            <w:tcW w:w="122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114</w:t>
            </w:r>
          </w:p>
        </w:tc>
        <w:tc>
          <w:tcPr>
            <w:tcW w:w="497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Philosophy of Gender and Human Rights</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10</w:t>
            </w:r>
          </w:p>
        </w:tc>
        <w:tc>
          <w:tcPr>
            <w:tcW w:w="122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ARTS 104</w:t>
            </w:r>
          </w:p>
        </w:tc>
        <w:tc>
          <w:tcPr>
            <w:tcW w:w="497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African Traditional Religion and Culture</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73"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1228"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4971"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Fonts w:eastAsia="Arial" w:cs="Arial" w:ascii="Arial" w:hAnsi="Arial"/>
                <w:b/>
                <w:bCs/>
                <w:color w:val="000000"/>
                <w:sz w:val="20"/>
                <w:szCs w:val="20"/>
              </w:rPr>
              <w:t>Semester Total</w:t>
            </w:r>
          </w:p>
        </w:tc>
        <w:tc>
          <w:tcPr>
            <w:tcW w:w="720" w:type="dxa"/>
            <w:tcBorders>
              <w:top w:val="single" w:sz="2" w:space="0" w:color="CCCCCC"/>
              <w:left w:val="single" w:sz="2" w:space="0" w:color="CCCCCC"/>
              <w:bottom w:val="single" w:sz="2" w:space="0" w:color="CCCCCC"/>
            </w:tcBorders>
            <w:shd w:fill="F5F5F5" w:val="clear"/>
            <w:vAlign w:val="center"/>
          </w:tcPr>
          <w:p>
            <w:pPr>
              <w:pStyle w:val="Normal"/>
              <w:spacing w:before="0" w:after="200"/>
              <w:jc w:val="center"/>
              <w:rPr/>
            </w:pPr>
            <w:r>
              <w:rPr>
                <w:rFonts w:eastAsia="Arial" w:cs="Arial" w:ascii="Arial" w:hAnsi="Arial"/>
                <w:b/>
                <w:bCs/>
                <w:color w:val="000000"/>
                <w:sz w:val="20"/>
                <w:szCs w:val="20"/>
              </w:rPr>
              <w:t>20</w:t>
            </w:r>
          </w:p>
        </w:tc>
        <w:tc>
          <w:tcPr>
            <w:tcW w:w="1440"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center"/>
              <w:rPr/>
            </w:pPr>
            <w:r>
              <w:rPr/>
            </w:r>
          </w:p>
        </w:tc>
      </w:tr>
    </w:tbl>
    <w:p>
      <w:pPr>
        <w:pStyle w:val="Normal"/>
        <w:spacing w:before="0" w:after="120"/>
        <w:rPr/>
      </w:pPr>
      <w:r>
        <w:rPr/>
      </w:r>
    </w:p>
    <w:p>
      <w:pPr>
        <w:pStyle w:val="Normal"/>
        <w:spacing w:before="240" w:after="120"/>
        <w:rPr/>
      </w:pPr>
      <w:r>
        <w:rPr>
          <w:rFonts w:eastAsia="Arial" w:cs="Arial" w:ascii="Arial" w:hAnsi="Arial"/>
          <w:b/>
          <w:bCs/>
          <w:color w:val="1F3864"/>
          <w:sz w:val="26"/>
          <w:szCs w:val="26"/>
        </w:rPr>
        <w:t>YEAR TWO</w:t>
      </w:r>
    </w:p>
    <w:tbl>
      <w:tblPr>
        <w:tblW w:w="9032" w:type="dxa"/>
        <w:jc w:val="left"/>
        <w:tblInd w:w="121" w:type="dxa"/>
        <w:tblLayout w:type="fixed"/>
        <w:tblCellMar>
          <w:top w:w="80" w:type="dxa"/>
          <w:left w:w="120" w:type="dxa"/>
          <w:bottom w:w="80" w:type="dxa"/>
          <w:right w:w="120" w:type="dxa"/>
        </w:tblCellMar>
      </w:tblPr>
      <w:tblGrid>
        <w:gridCol w:w="603"/>
        <w:gridCol w:w="1306"/>
        <w:gridCol w:w="4963"/>
        <w:gridCol w:w="720"/>
        <w:gridCol w:w="1440"/>
      </w:tblGrid>
      <w:tr>
        <w:trPr>
          <w:tblHeader w:val="true"/>
        </w:trPr>
        <w:tc>
          <w:tcPr>
            <w:tcW w:w="603"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S/N</w:t>
            </w:r>
          </w:p>
        </w:tc>
        <w:tc>
          <w:tcPr>
            <w:tcW w:w="1306"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Course Code</w:t>
            </w:r>
          </w:p>
        </w:tc>
        <w:tc>
          <w:tcPr>
            <w:tcW w:w="4963"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Course Title</w:t>
            </w:r>
          </w:p>
        </w:tc>
        <w:tc>
          <w:tcPr>
            <w:tcW w:w="720" w:type="dxa"/>
            <w:tcBorders>
              <w:top w:val="single" w:sz="2" w:space="0" w:color="CCCCCC"/>
              <w:left w:val="single" w:sz="2" w:space="0" w:color="CCCCCC"/>
              <w:bottom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CU</w:t>
            </w:r>
          </w:p>
        </w:tc>
        <w:tc>
          <w:tcPr>
            <w:tcW w:w="1440"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 xml:space="preserve">Course </w:t>
            </w:r>
            <w:r>
              <w:rPr>
                <w:rFonts w:eastAsia="Arial" w:cs="Arial" w:ascii="Arial" w:hAnsi="Arial"/>
                <w:b/>
                <w:bCs/>
                <w:color w:val="FFFFFF"/>
                <w:sz w:val="20"/>
                <w:szCs w:val="20"/>
              </w:rPr>
              <w:t>Status</w:t>
            </w:r>
          </w:p>
        </w:tc>
      </w:tr>
      <w:tr>
        <w:trPr/>
        <w:tc>
          <w:tcPr>
            <w:tcW w:w="7592" w:type="dxa"/>
            <w:gridSpan w:val="4"/>
            <w:tcBorders>
              <w:top w:val="single" w:sz="2" w:space="0" w:color="CCCCCC"/>
              <w:left w:val="single" w:sz="2" w:space="0" w:color="CCCCCC"/>
              <w:bottom w:val="single" w:sz="2" w:space="0" w:color="CCCCCC"/>
            </w:tcBorders>
            <w:shd w:fill="D6E4F7" w:val="clear"/>
          </w:tcPr>
          <w:p>
            <w:pPr>
              <w:pStyle w:val="Normal"/>
              <w:spacing w:before="0" w:after="200"/>
              <w:rPr/>
            </w:pPr>
            <w:r>
              <w:rPr>
                <w:rFonts w:eastAsia="Arial" w:cs="Arial" w:ascii="Arial" w:hAnsi="Arial"/>
                <w:b/>
                <w:bCs/>
                <w:color w:val="1F3864"/>
                <w:sz w:val="20"/>
                <w:szCs w:val="20"/>
              </w:rPr>
              <w:t>First Semester</w:t>
            </w:r>
          </w:p>
        </w:tc>
        <w:tc>
          <w:tcPr>
            <w:tcW w:w="1440" w:type="dxa"/>
            <w:tcBorders>
              <w:top w:val="single" w:sz="2" w:space="0" w:color="CCCCCC"/>
              <w:left w:val="single" w:sz="2" w:space="0" w:color="CCCCCC"/>
              <w:bottom w:val="single" w:sz="2" w:space="0" w:color="CCCCCC"/>
              <w:right w:val="single" w:sz="2" w:space="0" w:color="CCCCCC"/>
            </w:tcBorders>
            <w:shd w:fill="D6E4F7" w:val="clear"/>
          </w:tcPr>
          <w:p>
            <w:pPr>
              <w:pStyle w:val="Normal"/>
              <w:spacing w:before="0" w:after="200"/>
              <w:rPr/>
            </w:pPr>
            <w:r>
              <w:rPr/>
            </w:r>
          </w:p>
        </w:tc>
      </w:tr>
      <w:tr>
        <w:trPr/>
        <w:tc>
          <w:tcPr>
            <w:tcW w:w="60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1</w:t>
            </w:r>
          </w:p>
        </w:tc>
        <w:tc>
          <w:tcPr>
            <w:tcW w:w="1306"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ENT 211</w:t>
            </w:r>
          </w:p>
        </w:tc>
        <w:tc>
          <w:tcPr>
            <w:tcW w:w="496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Entrepreneurship and Innovation</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306"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FAC 201</w:t>
            </w:r>
          </w:p>
        </w:tc>
        <w:tc>
          <w:tcPr>
            <w:tcW w:w="496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Digital Humanities</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306"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201</w:t>
            </w:r>
          </w:p>
        </w:tc>
        <w:tc>
          <w:tcPr>
            <w:tcW w:w="496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Medieval Philosophy</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4</w:t>
            </w:r>
          </w:p>
        </w:tc>
        <w:tc>
          <w:tcPr>
            <w:tcW w:w="1306"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203</w:t>
            </w:r>
          </w:p>
        </w:tc>
        <w:tc>
          <w:tcPr>
            <w:tcW w:w="496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Theories of Ethics</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5</w:t>
            </w:r>
          </w:p>
        </w:tc>
        <w:tc>
          <w:tcPr>
            <w:tcW w:w="1306"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205</w:t>
            </w:r>
          </w:p>
        </w:tc>
        <w:tc>
          <w:tcPr>
            <w:tcW w:w="496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Introduction to Epistemology</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6</w:t>
            </w:r>
          </w:p>
        </w:tc>
        <w:tc>
          <w:tcPr>
            <w:tcW w:w="1306"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207</w:t>
            </w:r>
          </w:p>
        </w:tc>
        <w:tc>
          <w:tcPr>
            <w:tcW w:w="496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Philosophy and Theories of Development</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7</w:t>
            </w:r>
          </w:p>
        </w:tc>
        <w:tc>
          <w:tcPr>
            <w:tcW w:w="1306"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209</w:t>
            </w:r>
          </w:p>
        </w:tc>
        <w:tc>
          <w:tcPr>
            <w:tcW w:w="496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Philosophy of Technology</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8</w:t>
            </w:r>
          </w:p>
        </w:tc>
        <w:tc>
          <w:tcPr>
            <w:tcW w:w="1306"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CMS 201</w:t>
            </w:r>
          </w:p>
        </w:tc>
        <w:tc>
          <w:tcPr>
            <w:tcW w:w="496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History of Nigerian Media</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1306"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4963"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Fonts w:eastAsia="Arial" w:cs="Arial" w:ascii="Arial" w:hAnsi="Arial"/>
                <w:b/>
                <w:bCs/>
                <w:color w:val="000000"/>
                <w:sz w:val="20"/>
                <w:szCs w:val="20"/>
              </w:rPr>
              <w:t>Semester Total</w:t>
            </w:r>
          </w:p>
        </w:tc>
        <w:tc>
          <w:tcPr>
            <w:tcW w:w="720" w:type="dxa"/>
            <w:tcBorders>
              <w:top w:val="single" w:sz="2" w:space="0" w:color="CCCCCC"/>
              <w:left w:val="single" w:sz="2" w:space="0" w:color="CCCCCC"/>
              <w:bottom w:val="single" w:sz="2" w:space="0" w:color="CCCCCC"/>
            </w:tcBorders>
            <w:shd w:fill="F5F5F5" w:val="clear"/>
            <w:vAlign w:val="center"/>
          </w:tcPr>
          <w:p>
            <w:pPr>
              <w:pStyle w:val="Normal"/>
              <w:spacing w:before="0" w:after="200"/>
              <w:jc w:val="center"/>
              <w:rPr/>
            </w:pPr>
            <w:r>
              <w:rPr>
                <w:rFonts w:eastAsia="Arial" w:cs="Arial" w:ascii="Arial" w:hAnsi="Arial"/>
                <w:b/>
                <w:bCs/>
                <w:color w:val="000000"/>
                <w:sz w:val="20"/>
                <w:szCs w:val="20"/>
              </w:rPr>
              <w:t>18</w:t>
            </w:r>
          </w:p>
        </w:tc>
        <w:tc>
          <w:tcPr>
            <w:tcW w:w="1440"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center"/>
              <w:rPr/>
            </w:pPr>
            <w:r>
              <w:rPr/>
            </w:r>
          </w:p>
        </w:tc>
      </w:tr>
      <w:tr>
        <w:trPr/>
        <w:tc>
          <w:tcPr>
            <w:tcW w:w="7592" w:type="dxa"/>
            <w:gridSpan w:val="4"/>
            <w:tcBorders>
              <w:top w:val="single" w:sz="2" w:space="0" w:color="CCCCCC"/>
              <w:left w:val="single" w:sz="2" w:space="0" w:color="CCCCCC"/>
              <w:bottom w:val="single" w:sz="2" w:space="0" w:color="CCCCCC"/>
            </w:tcBorders>
            <w:shd w:fill="D6E4F7" w:val="clear"/>
          </w:tcPr>
          <w:p>
            <w:pPr>
              <w:pStyle w:val="Normal"/>
              <w:spacing w:before="0" w:after="200"/>
              <w:rPr/>
            </w:pPr>
            <w:r>
              <w:rPr>
                <w:rFonts w:eastAsia="Arial" w:cs="Arial" w:ascii="Arial" w:hAnsi="Arial"/>
                <w:b/>
                <w:bCs/>
                <w:color w:val="1F3864"/>
                <w:sz w:val="20"/>
                <w:szCs w:val="20"/>
              </w:rPr>
              <w:t>Second Semester</w:t>
            </w:r>
          </w:p>
        </w:tc>
        <w:tc>
          <w:tcPr>
            <w:tcW w:w="1440" w:type="dxa"/>
            <w:tcBorders>
              <w:top w:val="single" w:sz="2" w:space="0" w:color="CCCCCC"/>
              <w:left w:val="single" w:sz="2" w:space="0" w:color="CCCCCC"/>
              <w:bottom w:val="single" w:sz="2" w:space="0" w:color="CCCCCC"/>
              <w:right w:val="single" w:sz="2" w:space="0" w:color="CCCCCC"/>
            </w:tcBorders>
            <w:shd w:fill="D6E4F7" w:val="clear"/>
          </w:tcPr>
          <w:p>
            <w:pPr>
              <w:pStyle w:val="Normal"/>
              <w:spacing w:before="0" w:after="200"/>
              <w:rPr/>
            </w:pPr>
            <w:r>
              <w:rPr/>
            </w:r>
          </w:p>
        </w:tc>
      </w:tr>
      <w:tr>
        <w:trPr/>
        <w:tc>
          <w:tcPr>
            <w:tcW w:w="60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1</w:t>
            </w:r>
          </w:p>
        </w:tc>
        <w:tc>
          <w:tcPr>
            <w:tcW w:w="1306"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NDU-GST 202</w:t>
            </w:r>
          </w:p>
        </w:tc>
        <w:tc>
          <w:tcPr>
            <w:tcW w:w="496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Basic Communication in Zion</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306"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NDU-GST 208</w:t>
            </w:r>
          </w:p>
        </w:tc>
        <w:tc>
          <w:tcPr>
            <w:tcW w:w="496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Digital Literacy</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306"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GST 212</w:t>
            </w:r>
          </w:p>
        </w:tc>
        <w:tc>
          <w:tcPr>
            <w:tcW w:w="496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Philosophy, Logic and Human Existence</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4</w:t>
            </w:r>
          </w:p>
        </w:tc>
        <w:tc>
          <w:tcPr>
            <w:tcW w:w="1306"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FAC 202</w:t>
            </w:r>
          </w:p>
        </w:tc>
        <w:tc>
          <w:tcPr>
            <w:tcW w:w="496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The Arts and Other Disciplines</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5</w:t>
            </w:r>
          </w:p>
        </w:tc>
        <w:tc>
          <w:tcPr>
            <w:tcW w:w="1306"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202</w:t>
            </w:r>
          </w:p>
        </w:tc>
        <w:tc>
          <w:tcPr>
            <w:tcW w:w="496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Introduction to Logic</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6</w:t>
            </w:r>
          </w:p>
        </w:tc>
        <w:tc>
          <w:tcPr>
            <w:tcW w:w="1306"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204</w:t>
            </w:r>
          </w:p>
        </w:tc>
        <w:tc>
          <w:tcPr>
            <w:tcW w:w="496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Social and Political Philosophy</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7</w:t>
            </w:r>
          </w:p>
        </w:tc>
        <w:tc>
          <w:tcPr>
            <w:tcW w:w="1306"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206</w:t>
            </w:r>
          </w:p>
        </w:tc>
        <w:tc>
          <w:tcPr>
            <w:tcW w:w="496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Introduction to Metaphysics</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8</w:t>
            </w:r>
          </w:p>
        </w:tc>
        <w:tc>
          <w:tcPr>
            <w:tcW w:w="1306"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208</w:t>
            </w:r>
          </w:p>
        </w:tc>
        <w:tc>
          <w:tcPr>
            <w:tcW w:w="496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Philosophy of Arts and Aesthetics</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9</w:t>
            </w:r>
          </w:p>
        </w:tc>
        <w:tc>
          <w:tcPr>
            <w:tcW w:w="1306"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210</w:t>
            </w:r>
          </w:p>
        </w:tc>
        <w:tc>
          <w:tcPr>
            <w:tcW w:w="496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Community Service</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10</w:t>
            </w:r>
          </w:p>
        </w:tc>
        <w:tc>
          <w:tcPr>
            <w:tcW w:w="1306"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212</w:t>
            </w:r>
          </w:p>
        </w:tc>
        <w:tc>
          <w:tcPr>
            <w:tcW w:w="496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Philosophy of Language</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11</w:t>
            </w:r>
          </w:p>
        </w:tc>
        <w:tc>
          <w:tcPr>
            <w:tcW w:w="1306"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214</w:t>
            </w:r>
          </w:p>
        </w:tc>
        <w:tc>
          <w:tcPr>
            <w:tcW w:w="496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Ethics of Artificial Intelligence</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03"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1306"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4963"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Fonts w:eastAsia="Arial" w:cs="Arial" w:ascii="Arial" w:hAnsi="Arial"/>
                <w:b/>
                <w:bCs/>
                <w:color w:val="000000"/>
                <w:sz w:val="20"/>
                <w:szCs w:val="20"/>
              </w:rPr>
              <w:t>Semester Total</w:t>
            </w:r>
          </w:p>
        </w:tc>
        <w:tc>
          <w:tcPr>
            <w:tcW w:w="720" w:type="dxa"/>
            <w:tcBorders>
              <w:top w:val="single" w:sz="2" w:space="0" w:color="CCCCCC"/>
              <w:left w:val="single" w:sz="2" w:space="0" w:color="CCCCCC"/>
              <w:bottom w:val="single" w:sz="2" w:space="0" w:color="CCCCCC"/>
            </w:tcBorders>
            <w:shd w:fill="F5F5F5" w:val="clear"/>
            <w:vAlign w:val="center"/>
          </w:tcPr>
          <w:p>
            <w:pPr>
              <w:pStyle w:val="Normal"/>
              <w:spacing w:before="0" w:after="200"/>
              <w:jc w:val="center"/>
              <w:rPr/>
            </w:pPr>
            <w:r>
              <w:rPr>
                <w:rFonts w:eastAsia="Arial" w:cs="Arial" w:ascii="Arial" w:hAnsi="Arial"/>
                <w:b/>
                <w:bCs/>
                <w:color w:val="000000"/>
                <w:sz w:val="20"/>
                <w:szCs w:val="20"/>
              </w:rPr>
              <w:t>25</w:t>
            </w:r>
          </w:p>
        </w:tc>
        <w:tc>
          <w:tcPr>
            <w:tcW w:w="1440"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center"/>
              <w:rPr/>
            </w:pPr>
            <w:r>
              <w:rPr/>
            </w:r>
          </w:p>
        </w:tc>
      </w:tr>
    </w:tbl>
    <w:p>
      <w:pPr>
        <w:pStyle w:val="Normal"/>
        <w:spacing w:before="0" w:after="120"/>
        <w:rPr/>
      </w:pPr>
      <w:r>
        <w:rPr/>
      </w:r>
    </w:p>
    <w:p>
      <w:pPr>
        <w:pStyle w:val="Normal"/>
        <w:spacing w:before="240" w:after="120"/>
        <w:rPr/>
      </w:pPr>
      <w:r>
        <w:rPr>
          <w:rFonts w:eastAsia="Arial" w:cs="Arial" w:ascii="Arial" w:hAnsi="Arial"/>
          <w:b/>
          <w:bCs/>
          <w:color w:val="1F3864"/>
          <w:sz w:val="26"/>
          <w:szCs w:val="26"/>
        </w:rPr>
        <w:t>YEAR THREE</w:t>
      </w:r>
    </w:p>
    <w:tbl>
      <w:tblPr>
        <w:tblW w:w="9032" w:type="dxa"/>
        <w:jc w:val="left"/>
        <w:tblInd w:w="121" w:type="dxa"/>
        <w:tblLayout w:type="fixed"/>
        <w:tblCellMar>
          <w:top w:w="80" w:type="dxa"/>
          <w:left w:w="120" w:type="dxa"/>
          <w:bottom w:w="80" w:type="dxa"/>
          <w:right w:w="120" w:type="dxa"/>
        </w:tblCellMar>
      </w:tblPr>
      <w:tblGrid>
        <w:gridCol w:w="618"/>
        <w:gridCol w:w="1341"/>
        <w:gridCol w:w="4913"/>
        <w:gridCol w:w="745"/>
        <w:gridCol w:w="1415"/>
      </w:tblGrid>
      <w:tr>
        <w:trPr>
          <w:tblHeader w:val="true"/>
        </w:trPr>
        <w:tc>
          <w:tcPr>
            <w:tcW w:w="618"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S/N</w:t>
            </w:r>
          </w:p>
        </w:tc>
        <w:tc>
          <w:tcPr>
            <w:tcW w:w="1341"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Course Code</w:t>
            </w:r>
          </w:p>
        </w:tc>
        <w:tc>
          <w:tcPr>
            <w:tcW w:w="4913"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Course Title</w:t>
            </w:r>
          </w:p>
        </w:tc>
        <w:tc>
          <w:tcPr>
            <w:tcW w:w="745" w:type="dxa"/>
            <w:tcBorders>
              <w:top w:val="single" w:sz="2" w:space="0" w:color="CCCCCC"/>
              <w:left w:val="single" w:sz="2" w:space="0" w:color="CCCCCC"/>
              <w:bottom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CU</w:t>
            </w:r>
          </w:p>
        </w:tc>
        <w:tc>
          <w:tcPr>
            <w:tcW w:w="1415"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 xml:space="preserve">Course </w:t>
            </w:r>
            <w:r>
              <w:rPr>
                <w:rFonts w:eastAsia="Arial" w:cs="Arial" w:ascii="Arial" w:hAnsi="Arial"/>
                <w:b/>
                <w:bCs/>
                <w:color w:val="FFFFFF"/>
                <w:sz w:val="20"/>
                <w:szCs w:val="20"/>
              </w:rPr>
              <w:t>Status</w:t>
            </w:r>
          </w:p>
        </w:tc>
      </w:tr>
      <w:tr>
        <w:trPr/>
        <w:tc>
          <w:tcPr>
            <w:tcW w:w="7617" w:type="dxa"/>
            <w:gridSpan w:val="4"/>
            <w:tcBorders>
              <w:top w:val="single" w:sz="2" w:space="0" w:color="CCCCCC"/>
              <w:left w:val="single" w:sz="2" w:space="0" w:color="CCCCCC"/>
              <w:bottom w:val="single" w:sz="2" w:space="0" w:color="CCCCCC"/>
            </w:tcBorders>
            <w:shd w:fill="D6E4F7" w:val="clear"/>
          </w:tcPr>
          <w:p>
            <w:pPr>
              <w:pStyle w:val="Normal"/>
              <w:spacing w:before="0" w:after="200"/>
              <w:rPr/>
            </w:pPr>
            <w:r>
              <w:rPr>
                <w:rFonts w:eastAsia="Arial" w:cs="Arial" w:ascii="Arial" w:hAnsi="Arial"/>
                <w:b/>
                <w:bCs/>
                <w:color w:val="1F3864"/>
                <w:sz w:val="20"/>
                <w:szCs w:val="20"/>
              </w:rPr>
              <w:t>First Semester</w:t>
            </w:r>
          </w:p>
        </w:tc>
        <w:tc>
          <w:tcPr>
            <w:tcW w:w="1415" w:type="dxa"/>
            <w:tcBorders>
              <w:top w:val="single" w:sz="2" w:space="0" w:color="CCCCCC"/>
              <w:left w:val="single" w:sz="2" w:space="0" w:color="CCCCCC"/>
              <w:bottom w:val="single" w:sz="2" w:space="0" w:color="CCCCCC"/>
              <w:right w:val="single" w:sz="2" w:space="0" w:color="CCCCCC"/>
            </w:tcBorders>
            <w:shd w:fill="D6E4F7" w:val="clear"/>
          </w:tcPr>
          <w:p>
            <w:pPr>
              <w:pStyle w:val="Normal"/>
              <w:spacing w:before="0" w:after="200"/>
              <w:rPr/>
            </w:pPr>
            <w:r>
              <w:rPr/>
            </w:r>
          </w:p>
        </w:tc>
      </w:tr>
      <w:tr>
        <w:trPr/>
        <w:tc>
          <w:tcPr>
            <w:tcW w:w="61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1</w:t>
            </w:r>
          </w:p>
        </w:tc>
        <w:tc>
          <w:tcPr>
            <w:tcW w:w="134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FAC 301</w:t>
            </w:r>
          </w:p>
        </w:tc>
        <w:tc>
          <w:tcPr>
            <w:tcW w:w="491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Research Methods in the Arts</w:t>
            </w:r>
          </w:p>
        </w:tc>
        <w:tc>
          <w:tcPr>
            <w:tcW w:w="745"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34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301</w:t>
            </w:r>
          </w:p>
        </w:tc>
        <w:tc>
          <w:tcPr>
            <w:tcW w:w="491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Early Modern Philosophy</w:t>
            </w:r>
          </w:p>
        </w:tc>
        <w:tc>
          <w:tcPr>
            <w:tcW w:w="745"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34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303</w:t>
            </w:r>
          </w:p>
        </w:tc>
        <w:tc>
          <w:tcPr>
            <w:tcW w:w="491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Professional Ethics</w:t>
            </w:r>
          </w:p>
        </w:tc>
        <w:tc>
          <w:tcPr>
            <w:tcW w:w="745"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4</w:t>
            </w:r>
          </w:p>
        </w:tc>
        <w:tc>
          <w:tcPr>
            <w:tcW w:w="134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305</w:t>
            </w:r>
          </w:p>
        </w:tc>
        <w:tc>
          <w:tcPr>
            <w:tcW w:w="491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Contemporary Issues in African Philosophy</w:t>
            </w:r>
          </w:p>
        </w:tc>
        <w:tc>
          <w:tcPr>
            <w:tcW w:w="745"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1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5</w:t>
            </w:r>
          </w:p>
        </w:tc>
        <w:tc>
          <w:tcPr>
            <w:tcW w:w="134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307</w:t>
            </w:r>
          </w:p>
        </w:tc>
        <w:tc>
          <w:tcPr>
            <w:tcW w:w="491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Philosophy of the Social Sciences</w:t>
            </w:r>
          </w:p>
        </w:tc>
        <w:tc>
          <w:tcPr>
            <w:tcW w:w="745"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6</w:t>
            </w:r>
          </w:p>
        </w:tc>
        <w:tc>
          <w:tcPr>
            <w:tcW w:w="134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309</w:t>
            </w:r>
          </w:p>
        </w:tc>
        <w:tc>
          <w:tcPr>
            <w:tcW w:w="491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Postmodern Philosophy</w:t>
            </w:r>
          </w:p>
        </w:tc>
        <w:tc>
          <w:tcPr>
            <w:tcW w:w="745"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1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7</w:t>
            </w:r>
          </w:p>
        </w:tc>
        <w:tc>
          <w:tcPr>
            <w:tcW w:w="134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311</w:t>
            </w:r>
          </w:p>
        </w:tc>
        <w:tc>
          <w:tcPr>
            <w:tcW w:w="491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Contemporary Issues in Ethics</w:t>
            </w:r>
          </w:p>
        </w:tc>
        <w:tc>
          <w:tcPr>
            <w:tcW w:w="745"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1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8</w:t>
            </w:r>
          </w:p>
        </w:tc>
        <w:tc>
          <w:tcPr>
            <w:tcW w:w="134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313</w:t>
            </w:r>
          </w:p>
        </w:tc>
        <w:tc>
          <w:tcPr>
            <w:tcW w:w="491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Philosophy and Public Policy</w:t>
            </w:r>
          </w:p>
        </w:tc>
        <w:tc>
          <w:tcPr>
            <w:tcW w:w="745"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9</w:t>
            </w:r>
          </w:p>
        </w:tc>
        <w:tc>
          <w:tcPr>
            <w:tcW w:w="134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315</w:t>
            </w:r>
          </w:p>
        </w:tc>
        <w:tc>
          <w:tcPr>
            <w:tcW w:w="491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Economic Philosophy and Business Ethics</w:t>
            </w:r>
          </w:p>
        </w:tc>
        <w:tc>
          <w:tcPr>
            <w:tcW w:w="745"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10</w:t>
            </w:r>
          </w:p>
        </w:tc>
        <w:tc>
          <w:tcPr>
            <w:tcW w:w="134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317</w:t>
            </w:r>
          </w:p>
        </w:tc>
        <w:tc>
          <w:tcPr>
            <w:tcW w:w="491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Philosophy of Globalization and Migration</w:t>
            </w:r>
          </w:p>
        </w:tc>
        <w:tc>
          <w:tcPr>
            <w:tcW w:w="745"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1341"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4913"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Fonts w:eastAsia="Arial" w:cs="Arial" w:ascii="Arial" w:hAnsi="Arial"/>
                <w:b/>
                <w:bCs/>
                <w:color w:val="000000"/>
                <w:sz w:val="20"/>
                <w:szCs w:val="20"/>
              </w:rPr>
              <w:t>Semester Total</w:t>
            </w:r>
          </w:p>
        </w:tc>
        <w:tc>
          <w:tcPr>
            <w:tcW w:w="745" w:type="dxa"/>
            <w:tcBorders>
              <w:top w:val="single" w:sz="2" w:space="0" w:color="CCCCCC"/>
              <w:left w:val="single" w:sz="2" w:space="0" w:color="CCCCCC"/>
              <w:bottom w:val="single" w:sz="2" w:space="0" w:color="CCCCCC"/>
            </w:tcBorders>
            <w:shd w:fill="F5F5F5" w:val="clear"/>
            <w:vAlign w:val="center"/>
          </w:tcPr>
          <w:p>
            <w:pPr>
              <w:pStyle w:val="Normal"/>
              <w:spacing w:before="0" w:after="200"/>
              <w:jc w:val="center"/>
              <w:rPr/>
            </w:pPr>
            <w:r>
              <w:rPr>
                <w:rFonts w:eastAsia="Arial" w:cs="Arial" w:ascii="Arial" w:hAnsi="Arial"/>
                <w:b/>
                <w:bCs/>
                <w:color w:val="000000"/>
                <w:sz w:val="20"/>
                <w:szCs w:val="20"/>
              </w:rPr>
              <w:t>23</w:t>
            </w:r>
          </w:p>
        </w:tc>
        <w:tc>
          <w:tcPr>
            <w:tcW w:w="1415"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center"/>
              <w:rPr/>
            </w:pPr>
            <w:r>
              <w:rPr/>
            </w:r>
          </w:p>
        </w:tc>
      </w:tr>
      <w:tr>
        <w:trPr/>
        <w:tc>
          <w:tcPr>
            <w:tcW w:w="7617" w:type="dxa"/>
            <w:gridSpan w:val="4"/>
            <w:tcBorders>
              <w:top w:val="single" w:sz="2" w:space="0" w:color="CCCCCC"/>
              <w:left w:val="single" w:sz="2" w:space="0" w:color="CCCCCC"/>
              <w:bottom w:val="single" w:sz="2" w:space="0" w:color="CCCCCC"/>
            </w:tcBorders>
            <w:shd w:fill="D6E4F7" w:val="clear"/>
          </w:tcPr>
          <w:p>
            <w:pPr>
              <w:pStyle w:val="Normal"/>
              <w:spacing w:before="0" w:after="200"/>
              <w:rPr/>
            </w:pPr>
            <w:r>
              <w:rPr>
                <w:rFonts w:eastAsia="Arial" w:cs="Arial" w:ascii="Arial" w:hAnsi="Arial"/>
                <w:b/>
                <w:bCs/>
                <w:color w:val="1F3864"/>
                <w:sz w:val="20"/>
                <w:szCs w:val="20"/>
              </w:rPr>
              <w:t>Second Semester</w:t>
            </w:r>
          </w:p>
        </w:tc>
        <w:tc>
          <w:tcPr>
            <w:tcW w:w="1415" w:type="dxa"/>
            <w:tcBorders>
              <w:top w:val="single" w:sz="2" w:space="0" w:color="CCCCCC"/>
              <w:left w:val="single" w:sz="2" w:space="0" w:color="CCCCCC"/>
              <w:bottom w:val="single" w:sz="2" w:space="0" w:color="CCCCCC"/>
              <w:right w:val="single" w:sz="2" w:space="0" w:color="CCCCCC"/>
            </w:tcBorders>
            <w:shd w:fill="D6E4F7" w:val="clear"/>
          </w:tcPr>
          <w:p>
            <w:pPr>
              <w:pStyle w:val="Normal"/>
              <w:spacing w:before="0" w:after="200"/>
              <w:rPr/>
            </w:pPr>
            <w:r>
              <w:rPr/>
            </w:r>
          </w:p>
        </w:tc>
      </w:tr>
      <w:tr>
        <w:trPr/>
        <w:tc>
          <w:tcPr>
            <w:tcW w:w="61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1</w:t>
            </w:r>
          </w:p>
        </w:tc>
        <w:tc>
          <w:tcPr>
            <w:tcW w:w="134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GST 312</w:t>
            </w:r>
          </w:p>
        </w:tc>
        <w:tc>
          <w:tcPr>
            <w:tcW w:w="491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Peace and Conflict Resolution</w:t>
            </w:r>
          </w:p>
        </w:tc>
        <w:tc>
          <w:tcPr>
            <w:tcW w:w="745"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34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ENT 312</w:t>
            </w:r>
          </w:p>
        </w:tc>
        <w:tc>
          <w:tcPr>
            <w:tcW w:w="491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Venture Creation</w:t>
            </w:r>
          </w:p>
        </w:tc>
        <w:tc>
          <w:tcPr>
            <w:tcW w:w="745"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34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FAC 302</w:t>
            </w:r>
          </w:p>
        </w:tc>
        <w:tc>
          <w:tcPr>
            <w:tcW w:w="491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Theories in the Arts and Humanities</w:t>
            </w:r>
          </w:p>
        </w:tc>
        <w:tc>
          <w:tcPr>
            <w:tcW w:w="745"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4</w:t>
            </w:r>
          </w:p>
        </w:tc>
        <w:tc>
          <w:tcPr>
            <w:tcW w:w="134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302</w:t>
            </w:r>
          </w:p>
        </w:tc>
        <w:tc>
          <w:tcPr>
            <w:tcW w:w="491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Symbolic Logic</w:t>
            </w:r>
          </w:p>
        </w:tc>
        <w:tc>
          <w:tcPr>
            <w:tcW w:w="745"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5</w:t>
            </w:r>
          </w:p>
        </w:tc>
        <w:tc>
          <w:tcPr>
            <w:tcW w:w="134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304</w:t>
            </w:r>
          </w:p>
        </w:tc>
        <w:tc>
          <w:tcPr>
            <w:tcW w:w="491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Contemporary Analytic Philosophy</w:t>
            </w:r>
          </w:p>
        </w:tc>
        <w:tc>
          <w:tcPr>
            <w:tcW w:w="745"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6</w:t>
            </w:r>
          </w:p>
        </w:tc>
        <w:tc>
          <w:tcPr>
            <w:tcW w:w="134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306</w:t>
            </w:r>
          </w:p>
        </w:tc>
        <w:tc>
          <w:tcPr>
            <w:tcW w:w="491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Existentialism and Phenomenology</w:t>
            </w:r>
          </w:p>
        </w:tc>
        <w:tc>
          <w:tcPr>
            <w:tcW w:w="745"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7</w:t>
            </w:r>
          </w:p>
        </w:tc>
        <w:tc>
          <w:tcPr>
            <w:tcW w:w="134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308</w:t>
            </w:r>
          </w:p>
        </w:tc>
        <w:tc>
          <w:tcPr>
            <w:tcW w:w="491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Environmental Philosophy and Sustainability Ethics</w:t>
            </w:r>
          </w:p>
        </w:tc>
        <w:tc>
          <w:tcPr>
            <w:tcW w:w="745"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1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8</w:t>
            </w:r>
          </w:p>
        </w:tc>
        <w:tc>
          <w:tcPr>
            <w:tcW w:w="134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310</w:t>
            </w:r>
          </w:p>
        </w:tc>
        <w:tc>
          <w:tcPr>
            <w:tcW w:w="491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Research Methods</w:t>
            </w:r>
          </w:p>
        </w:tc>
        <w:tc>
          <w:tcPr>
            <w:tcW w:w="745"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1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9</w:t>
            </w:r>
          </w:p>
        </w:tc>
        <w:tc>
          <w:tcPr>
            <w:tcW w:w="1341"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312</w:t>
            </w:r>
          </w:p>
        </w:tc>
        <w:tc>
          <w:tcPr>
            <w:tcW w:w="4913"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Philosophy of Food</w:t>
            </w:r>
          </w:p>
        </w:tc>
        <w:tc>
          <w:tcPr>
            <w:tcW w:w="745"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10</w:t>
            </w:r>
          </w:p>
        </w:tc>
        <w:tc>
          <w:tcPr>
            <w:tcW w:w="1341"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314</w:t>
            </w:r>
          </w:p>
        </w:tc>
        <w:tc>
          <w:tcPr>
            <w:tcW w:w="4913"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Philosophy of Peace and Conflict Resolution</w:t>
            </w:r>
          </w:p>
        </w:tc>
        <w:tc>
          <w:tcPr>
            <w:tcW w:w="745"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41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618"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1341"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4913"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Fonts w:eastAsia="Arial" w:cs="Arial" w:ascii="Arial" w:hAnsi="Arial"/>
                <w:b/>
                <w:bCs/>
                <w:color w:val="000000"/>
                <w:sz w:val="20"/>
                <w:szCs w:val="20"/>
              </w:rPr>
              <w:t>Semester Total</w:t>
            </w:r>
          </w:p>
        </w:tc>
        <w:tc>
          <w:tcPr>
            <w:tcW w:w="745" w:type="dxa"/>
            <w:tcBorders>
              <w:top w:val="single" w:sz="2" w:space="0" w:color="CCCCCC"/>
              <w:left w:val="single" w:sz="2" w:space="0" w:color="CCCCCC"/>
              <w:bottom w:val="single" w:sz="2" w:space="0" w:color="CCCCCC"/>
            </w:tcBorders>
            <w:shd w:fill="F5F5F5" w:val="clear"/>
            <w:vAlign w:val="center"/>
          </w:tcPr>
          <w:p>
            <w:pPr>
              <w:pStyle w:val="Normal"/>
              <w:spacing w:before="0" w:after="200"/>
              <w:jc w:val="center"/>
              <w:rPr/>
            </w:pPr>
            <w:r>
              <w:rPr>
                <w:rFonts w:eastAsia="Arial" w:cs="Arial" w:ascii="Arial" w:hAnsi="Arial"/>
                <w:b/>
                <w:bCs/>
                <w:color w:val="000000"/>
                <w:sz w:val="20"/>
                <w:szCs w:val="20"/>
              </w:rPr>
              <w:t>22</w:t>
            </w:r>
          </w:p>
        </w:tc>
        <w:tc>
          <w:tcPr>
            <w:tcW w:w="1415"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center"/>
              <w:rPr/>
            </w:pPr>
            <w:r>
              <w:rPr/>
            </w:r>
          </w:p>
        </w:tc>
      </w:tr>
    </w:tbl>
    <w:p>
      <w:pPr>
        <w:pStyle w:val="Normal"/>
        <w:spacing w:before="0" w:after="120"/>
        <w:rPr/>
      </w:pPr>
      <w:r>
        <w:rPr/>
      </w:r>
    </w:p>
    <w:p>
      <w:pPr>
        <w:pStyle w:val="Normal"/>
        <w:spacing w:before="240" w:after="120"/>
        <w:rPr/>
      </w:pPr>
      <w:r>
        <w:rPr>
          <w:rFonts w:eastAsia="Arial" w:cs="Arial" w:ascii="Arial" w:hAnsi="Arial"/>
          <w:b/>
          <w:bCs/>
          <w:color w:val="1F3864"/>
          <w:sz w:val="26"/>
          <w:szCs w:val="26"/>
        </w:rPr>
        <w:t>YEAR FOUR</w:t>
      </w:r>
    </w:p>
    <w:tbl>
      <w:tblPr>
        <w:tblW w:w="9032" w:type="dxa"/>
        <w:jc w:val="left"/>
        <w:tblInd w:w="121" w:type="dxa"/>
        <w:tblLayout w:type="fixed"/>
        <w:tblCellMar>
          <w:top w:w="80" w:type="dxa"/>
          <w:left w:w="120" w:type="dxa"/>
          <w:bottom w:w="80" w:type="dxa"/>
          <w:right w:w="120" w:type="dxa"/>
        </w:tblCellMar>
      </w:tblPr>
      <w:tblGrid>
        <w:gridCol w:w="585"/>
        <w:gridCol w:w="1267"/>
        <w:gridCol w:w="5020"/>
        <w:gridCol w:w="720"/>
        <w:gridCol w:w="1440"/>
      </w:tblGrid>
      <w:tr>
        <w:trPr>
          <w:tblHeader w:val="true"/>
        </w:trPr>
        <w:tc>
          <w:tcPr>
            <w:tcW w:w="585"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S/N</w:t>
            </w:r>
          </w:p>
        </w:tc>
        <w:tc>
          <w:tcPr>
            <w:tcW w:w="1267"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Course Code</w:t>
            </w:r>
          </w:p>
        </w:tc>
        <w:tc>
          <w:tcPr>
            <w:tcW w:w="5020"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Course Title</w:t>
            </w:r>
          </w:p>
        </w:tc>
        <w:tc>
          <w:tcPr>
            <w:tcW w:w="720" w:type="dxa"/>
            <w:tcBorders>
              <w:top w:val="single" w:sz="2" w:space="0" w:color="CCCCCC"/>
              <w:left w:val="single" w:sz="2" w:space="0" w:color="CCCCCC"/>
              <w:bottom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CU</w:t>
            </w:r>
          </w:p>
        </w:tc>
        <w:tc>
          <w:tcPr>
            <w:tcW w:w="1440" w:type="dxa"/>
            <w:tcBorders>
              <w:top w:val="single" w:sz="2" w:space="0" w:color="CCCCCC"/>
              <w:left w:val="single" w:sz="2" w:space="0" w:color="CCCCCC"/>
              <w:bottom w:val="single" w:sz="2" w:space="0" w:color="CCCCCC"/>
              <w:right w:val="single" w:sz="2" w:space="0" w:color="CCCCCC"/>
            </w:tcBorders>
            <w:shd w:fill="1F3864" w:val="clear"/>
            <w:vAlign w:val="center"/>
          </w:tcPr>
          <w:p>
            <w:pPr>
              <w:pStyle w:val="Normal"/>
              <w:spacing w:before="0" w:after="200"/>
              <w:jc w:val="left"/>
              <w:rPr/>
            </w:pPr>
            <w:r>
              <w:rPr>
                <w:rFonts w:eastAsia="Arial" w:cs="Arial" w:ascii="Arial" w:hAnsi="Arial"/>
                <w:b/>
                <w:bCs/>
                <w:color w:val="FFFFFF"/>
                <w:sz w:val="20"/>
                <w:szCs w:val="20"/>
              </w:rPr>
              <w:t xml:space="preserve">Course </w:t>
            </w:r>
            <w:r>
              <w:rPr>
                <w:rFonts w:eastAsia="Arial" w:cs="Arial" w:ascii="Arial" w:hAnsi="Arial"/>
                <w:b/>
                <w:bCs/>
                <w:color w:val="FFFFFF"/>
                <w:sz w:val="20"/>
                <w:szCs w:val="20"/>
              </w:rPr>
              <w:t>Status</w:t>
            </w:r>
          </w:p>
        </w:tc>
      </w:tr>
      <w:tr>
        <w:trPr/>
        <w:tc>
          <w:tcPr>
            <w:tcW w:w="7592" w:type="dxa"/>
            <w:gridSpan w:val="4"/>
            <w:tcBorders>
              <w:top w:val="single" w:sz="2" w:space="0" w:color="CCCCCC"/>
              <w:left w:val="single" w:sz="2" w:space="0" w:color="CCCCCC"/>
              <w:bottom w:val="single" w:sz="2" w:space="0" w:color="CCCCCC"/>
            </w:tcBorders>
            <w:shd w:fill="D6E4F7" w:val="clear"/>
          </w:tcPr>
          <w:p>
            <w:pPr>
              <w:pStyle w:val="Normal"/>
              <w:spacing w:before="0" w:after="200"/>
              <w:rPr/>
            </w:pPr>
            <w:r>
              <w:rPr>
                <w:rFonts w:eastAsia="Arial" w:cs="Arial" w:ascii="Arial" w:hAnsi="Arial"/>
                <w:b/>
                <w:bCs/>
                <w:color w:val="1F3864"/>
                <w:sz w:val="20"/>
                <w:szCs w:val="20"/>
              </w:rPr>
              <w:t>First Semester</w:t>
            </w:r>
          </w:p>
        </w:tc>
        <w:tc>
          <w:tcPr>
            <w:tcW w:w="1440" w:type="dxa"/>
            <w:tcBorders>
              <w:top w:val="single" w:sz="2" w:space="0" w:color="CCCCCC"/>
              <w:left w:val="single" w:sz="2" w:space="0" w:color="CCCCCC"/>
              <w:bottom w:val="single" w:sz="2" w:space="0" w:color="CCCCCC"/>
              <w:right w:val="single" w:sz="2" w:space="0" w:color="CCCCCC"/>
            </w:tcBorders>
            <w:shd w:fill="D6E4F7" w:val="clear"/>
          </w:tcPr>
          <w:p>
            <w:pPr>
              <w:pStyle w:val="Normal"/>
              <w:spacing w:before="0" w:after="200"/>
              <w:rPr/>
            </w:pPr>
            <w:r>
              <w:rPr/>
            </w:r>
          </w:p>
        </w:tc>
      </w:tr>
      <w:tr>
        <w:trPr/>
        <w:tc>
          <w:tcPr>
            <w:tcW w:w="58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1</w:t>
            </w:r>
          </w:p>
        </w:tc>
        <w:tc>
          <w:tcPr>
            <w:tcW w:w="1267"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411</w:t>
            </w:r>
          </w:p>
        </w:tc>
        <w:tc>
          <w:tcPr>
            <w:tcW w:w="502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19th-21st Century Philosophy</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58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267"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413</w:t>
            </w:r>
          </w:p>
        </w:tc>
        <w:tc>
          <w:tcPr>
            <w:tcW w:w="502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Philosophy of Mind</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58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267"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415</w:t>
            </w:r>
          </w:p>
        </w:tc>
        <w:tc>
          <w:tcPr>
            <w:tcW w:w="502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Social and Political Philosophy</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58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4</w:t>
            </w:r>
          </w:p>
        </w:tc>
        <w:tc>
          <w:tcPr>
            <w:tcW w:w="1267"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417</w:t>
            </w:r>
          </w:p>
        </w:tc>
        <w:tc>
          <w:tcPr>
            <w:tcW w:w="502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Classics of Ethics</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58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5</w:t>
            </w:r>
          </w:p>
        </w:tc>
        <w:tc>
          <w:tcPr>
            <w:tcW w:w="1267"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419</w:t>
            </w:r>
          </w:p>
        </w:tc>
        <w:tc>
          <w:tcPr>
            <w:tcW w:w="502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Philosophy of Law</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585"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1267"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5020"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Fonts w:eastAsia="Arial" w:cs="Arial" w:ascii="Arial" w:hAnsi="Arial"/>
                <w:b/>
                <w:bCs/>
                <w:color w:val="000000"/>
                <w:sz w:val="20"/>
                <w:szCs w:val="20"/>
              </w:rPr>
              <w:t>Semester Total</w:t>
            </w:r>
          </w:p>
        </w:tc>
        <w:tc>
          <w:tcPr>
            <w:tcW w:w="720" w:type="dxa"/>
            <w:tcBorders>
              <w:top w:val="single" w:sz="2" w:space="0" w:color="CCCCCC"/>
              <w:left w:val="single" w:sz="2" w:space="0" w:color="CCCCCC"/>
              <w:bottom w:val="single" w:sz="2" w:space="0" w:color="CCCCCC"/>
            </w:tcBorders>
            <w:shd w:fill="F5F5F5" w:val="clear"/>
            <w:vAlign w:val="center"/>
          </w:tcPr>
          <w:p>
            <w:pPr>
              <w:pStyle w:val="Normal"/>
              <w:spacing w:before="0" w:after="200"/>
              <w:jc w:val="center"/>
              <w:rPr/>
            </w:pPr>
            <w:r>
              <w:rPr>
                <w:rFonts w:eastAsia="Arial" w:cs="Arial" w:ascii="Arial" w:hAnsi="Arial"/>
                <w:b/>
                <w:bCs/>
                <w:color w:val="000000"/>
                <w:sz w:val="20"/>
                <w:szCs w:val="20"/>
              </w:rPr>
              <w:t>15</w:t>
            </w:r>
          </w:p>
        </w:tc>
        <w:tc>
          <w:tcPr>
            <w:tcW w:w="1440"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center"/>
              <w:rPr/>
            </w:pPr>
            <w:r>
              <w:rPr/>
            </w:r>
          </w:p>
        </w:tc>
      </w:tr>
      <w:tr>
        <w:trPr/>
        <w:tc>
          <w:tcPr>
            <w:tcW w:w="7592" w:type="dxa"/>
            <w:gridSpan w:val="4"/>
            <w:tcBorders>
              <w:top w:val="single" w:sz="2" w:space="0" w:color="CCCCCC"/>
              <w:left w:val="single" w:sz="2" w:space="0" w:color="CCCCCC"/>
              <w:bottom w:val="single" w:sz="2" w:space="0" w:color="CCCCCC"/>
            </w:tcBorders>
            <w:shd w:fill="D6E4F7" w:val="clear"/>
          </w:tcPr>
          <w:p>
            <w:pPr>
              <w:pStyle w:val="Normal"/>
              <w:spacing w:before="0" w:after="200"/>
              <w:rPr/>
            </w:pPr>
            <w:r>
              <w:rPr>
                <w:rFonts w:eastAsia="Arial" w:cs="Arial" w:ascii="Arial" w:hAnsi="Arial"/>
                <w:b/>
                <w:bCs/>
                <w:color w:val="1F3864"/>
                <w:sz w:val="20"/>
                <w:szCs w:val="20"/>
              </w:rPr>
              <w:t>Second Semester</w:t>
            </w:r>
          </w:p>
        </w:tc>
        <w:tc>
          <w:tcPr>
            <w:tcW w:w="1440" w:type="dxa"/>
            <w:tcBorders>
              <w:top w:val="single" w:sz="2" w:space="0" w:color="CCCCCC"/>
              <w:left w:val="single" w:sz="2" w:space="0" w:color="CCCCCC"/>
              <w:bottom w:val="single" w:sz="2" w:space="0" w:color="CCCCCC"/>
              <w:right w:val="single" w:sz="2" w:space="0" w:color="CCCCCC"/>
            </w:tcBorders>
            <w:shd w:fill="D6E4F7" w:val="clear"/>
          </w:tcPr>
          <w:p>
            <w:pPr>
              <w:pStyle w:val="Normal"/>
              <w:spacing w:before="0" w:after="200"/>
              <w:rPr/>
            </w:pPr>
            <w:r>
              <w:rPr/>
            </w:r>
          </w:p>
        </w:tc>
      </w:tr>
      <w:tr>
        <w:trPr/>
        <w:tc>
          <w:tcPr>
            <w:tcW w:w="58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1</w:t>
            </w:r>
          </w:p>
        </w:tc>
        <w:tc>
          <w:tcPr>
            <w:tcW w:w="1267"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422</w:t>
            </w:r>
          </w:p>
        </w:tc>
        <w:tc>
          <w:tcPr>
            <w:tcW w:w="502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Philosophy of Science</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58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2</w:t>
            </w:r>
          </w:p>
        </w:tc>
        <w:tc>
          <w:tcPr>
            <w:tcW w:w="1267"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424</w:t>
            </w:r>
          </w:p>
        </w:tc>
        <w:tc>
          <w:tcPr>
            <w:tcW w:w="502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Environmental Ethics</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58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267"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426</w:t>
            </w:r>
          </w:p>
        </w:tc>
        <w:tc>
          <w:tcPr>
            <w:tcW w:w="502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Long Essay</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6</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58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4</w:t>
            </w:r>
          </w:p>
        </w:tc>
        <w:tc>
          <w:tcPr>
            <w:tcW w:w="1267"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428</w:t>
            </w:r>
          </w:p>
        </w:tc>
        <w:tc>
          <w:tcPr>
            <w:tcW w:w="502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Descartes, Hume &amp; Kant</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585"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5</w:t>
            </w:r>
          </w:p>
        </w:tc>
        <w:tc>
          <w:tcPr>
            <w:tcW w:w="1267"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PHL 440</w:t>
            </w:r>
          </w:p>
        </w:tc>
        <w:tc>
          <w:tcPr>
            <w:tcW w:w="502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left"/>
              <w:rPr/>
            </w:pPr>
            <w:r>
              <w:rPr>
                <w:rFonts w:eastAsia="Arial" w:cs="Arial" w:ascii="Arial" w:hAnsi="Arial"/>
                <w:b w:val="false"/>
                <w:bCs w:val="false"/>
                <w:color w:val="000000"/>
                <w:sz w:val="20"/>
                <w:szCs w:val="20"/>
              </w:rPr>
              <w:t>Hegel and Marx</w:t>
            </w:r>
          </w:p>
        </w:tc>
        <w:tc>
          <w:tcPr>
            <w:tcW w:w="720" w:type="dxa"/>
            <w:tcBorders>
              <w:top w:val="single" w:sz="2" w:space="0" w:color="CCCCCC"/>
              <w:left w:val="single" w:sz="2" w:space="0" w:color="CCCCCC"/>
              <w:bottom w:val="single" w:sz="2" w:space="0" w:color="CCCCCC"/>
            </w:tcBorders>
            <w:shd w:fill="FFFFFF"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FFFFFF" w:val="clear"/>
            <w:vAlign w:val="center"/>
          </w:tcPr>
          <w:p>
            <w:pPr>
              <w:pStyle w:val="Normal"/>
              <w:spacing w:before="0" w:after="200"/>
              <w:jc w:val="center"/>
              <w:rPr/>
            </w:pPr>
            <w:r>
              <w:rPr/>
              <w:t>Compulsory</w:t>
            </w:r>
          </w:p>
        </w:tc>
      </w:tr>
      <w:tr>
        <w:trPr/>
        <w:tc>
          <w:tcPr>
            <w:tcW w:w="585"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6</w:t>
            </w:r>
          </w:p>
        </w:tc>
        <w:tc>
          <w:tcPr>
            <w:tcW w:w="1267"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PHL 444</w:t>
            </w:r>
          </w:p>
        </w:tc>
        <w:tc>
          <w:tcPr>
            <w:tcW w:w="502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left"/>
              <w:rPr/>
            </w:pPr>
            <w:r>
              <w:rPr>
                <w:rFonts w:eastAsia="Arial" w:cs="Arial" w:ascii="Arial" w:hAnsi="Arial"/>
                <w:b w:val="false"/>
                <w:bCs w:val="false"/>
                <w:color w:val="000000"/>
                <w:sz w:val="20"/>
                <w:szCs w:val="20"/>
              </w:rPr>
              <w:t>Oriental Philosophy</w:t>
            </w:r>
          </w:p>
        </w:tc>
        <w:tc>
          <w:tcPr>
            <w:tcW w:w="720" w:type="dxa"/>
            <w:tcBorders>
              <w:top w:val="single" w:sz="2" w:space="0" w:color="CCCCCC"/>
              <w:left w:val="single" w:sz="2" w:space="0" w:color="CCCCCC"/>
              <w:bottom w:val="single" w:sz="2" w:space="0" w:color="CCCCCC"/>
            </w:tcBorders>
            <w:shd w:fill="EEF3FA" w:val="clear"/>
            <w:vAlign w:val="center"/>
          </w:tcPr>
          <w:p>
            <w:pPr>
              <w:pStyle w:val="Normal"/>
              <w:spacing w:before="0" w:after="200"/>
              <w:jc w:val="center"/>
              <w:rPr/>
            </w:pPr>
            <w:r>
              <w:rPr>
                <w:rFonts w:eastAsia="Arial" w:cs="Arial" w:ascii="Arial" w:hAnsi="Arial"/>
                <w:b w:val="false"/>
                <w:bCs w:val="false"/>
                <w:color w:val="000000"/>
                <w:sz w:val="20"/>
                <w:szCs w:val="20"/>
              </w:rPr>
              <w:t>3</w:t>
            </w:r>
          </w:p>
        </w:tc>
        <w:tc>
          <w:tcPr>
            <w:tcW w:w="1440" w:type="dxa"/>
            <w:tcBorders>
              <w:top w:val="single" w:sz="2" w:space="0" w:color="CCCCCC"/>
              <w:left w:val="single" w:sz="2" w:space="0" w:color="CCCCCC"/>
              <w:bottom w:val="single" w:sz="2" w:space="0" w:color="CCCCCC"/>
              <w:right w:val="single" w:sz="2" w:space="0" w:color="CCCCCC"/>
            </w:tcBorders>
            <w:shd w:fill="EEF3FA" w:val="clear"/>
            <w:vAlign w:val="center"/>
          </w:tcPr>
          <w:p>
            <w:pPr>
              <w:pStyle w:val="Normal"/>
              <w:spacing w:before="0" w:after="200"/>
              <w:jc w:val="center"/>
              <w:rPr/>
            </w:pPr>
            <w:r>
              <w:rPr/>
              <w:t>Compulsory</w:t>
            </w:r>
          </w:p>
        </w:tc>
      </w:tr>
      <w:tr>
        <w:trPr/>
        <w:tc>
          <w:tcPr>
            <w:tcW w:w="585"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1267"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
          </w:p>
        </w:tc>
        <w:tc>
          <w:tcPr>
            <w:tcW w:w="5020"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left"/>
              <w:rPr/>
            </w:pPr>
            <w:r>
              <w:rPr>
                <w:rFonts w:eastAsia="Arial" w:cs="Arial" w:ascii="Arial" w:hAnsi="Arial"/>
                <w:b/>
                <w:bCs/>
                <w:color w:val="000000"/>
                <w:sz w:val="20"/>
                <w:szCs w:val="20"/>
              </w:rPr>
              <w:t>Semester Total</w:t>
            </w:r>
          </w:p>
        </w:tc>
        <w:tc>
          <w:tcPr>
            <w:tcW w:w="720" w:type="dxa"/>
            <w:tcBorders>
              <w:top w:val="single" w:sz="2" w:space="0" w:color="CCCCCC"/>
              <w:left w:val="single" w:sz="2" w:space="0" w:color="CCCCCC"/>
              <w:bottom w:val="single" w:sz="2" w:space="0" w:color="CCCCCC"/>
            </w:tcBorders>
            <w:shd w:fill="F5F5F5" w:val="clear"/>
            <w:vAlign w:val="center"/>
          </w:tcPr>
          <w:p>
            <w:pPr>
              <w:pStyle w:val="Normal"/>
              <w:spacing w:before="0" w:after="200"/>
              <w:jc w:val="center"/>
              <w:rPr/>
            </w:pPr>
            <w:r>
              <w:rPr>
                <w:rFonts w:eastAsia="Arial" w:cs="Arial" w:ascii="Arial" w:hAnsi="Arial"/>
                <w:b/>
                <w:bCs/>
                <w:color w:val="000000"/>
                <w:sz w:val="20"/>
                <w:szCs w:val="20"/>
              </w:rPr>
              <w:t>21</w:t>
            </w:r>
          </w:p>
        </w:tc>
        <w:tc>
          <w:tcPr>
            <w:tcW w:w="1440" w:type="dxa"/>
            <w:tcBorders>
              <w:top w:val="single" w:sz="2" w:space="0" w:color="CCCCCC"/>
              <w:left w:val="single" w:sz="2" w:space="0" w:color="CCCCCC"/>
              <w:bottom w:val="single" w:sz="2" w:space="0" w:color="CCCCCC"/>
              <w:right w:val="single" w:sz="2" w:space="0" w:color="CCCCCC"/>
            </w:tcBorders>
            <w:shd w:fill="F5F5F5" w:val="clear"/>
            <w:vAlign w:val="center"/>
          </w:tcPr>
          <w:p>
            <w:pPr>
              <w:pStyle w:val="Normal"/>
              <w:spacing w:before="0" w:after="200"/>
              <w:jc w:val="center"/>
              <w:rPr/>
            </w:pPr>
            <w:r>
              <w:rPr/>
            </w:r>
          </w:p>
        </w:tc>
      </w:tr>
    </w:tbl>
    <w:p>
      <w:pPr>
        <w:pStyle w:val="Normal"/>
        <w:spacing w:before="0" w:after="120"/>
        <w:rPr>
          <w:rFonts w:ascii="Arial" w:hAnsi="Arial" w:eastAsia="Arial" w:cs="Arial"/>
          <w:i/>
          <w:iCs/>
          <w:color w:val="555555"/>
          <w:sz w:val="18"/>
          <w:szCs w:val="18"/>
        </w:rPr>
      </w:pPr>
      <w:r>
        <w:rPr/>
      </w:r>
    </w:p>
    <w:p>
      <w:pPr>
        <w:pStyle w:val="Normal"/>
        <w:spacing w:lineRule="auto" w:line="360"/>
        <w:jc w:val="both"/>
        <w:rPr>
          <w:rFonts w:ascii="arial" w:hAnsi="arial" w:cs="Times New Roman"/>
          <w:b/>
          <w:sz w:val="24"/>
          <w:szCs w:val="24"/>
        </w:rPr>
      </w:pPr>
      <w:r>
        <w:rPr>
          <w:rFonts w:cs="Times New Roman" w:ascii="arial" w:hAnsi="arial"/>
          <w:b/>
          <w:sz w:val="24"/>
          <w:szCs w:val="24"/>
        </w:rPr>
      </w:r>
    </w:p>
    <w:p>
      <w:pPr>
        <w:pStyle w:val="Normal"/>
        <w:spacing w:lineRule="auto" w:line="360"/>
        <w:jc w:val="both"/>
        <w:rPr>
          <w:rFonts w:ascii="arial" w:hAnsi="arial" w:cs="Times New Roman"/>
          <w:b/>
          <w:sz w:val="24"/>
          <w:szCs w:val="24"/>
        </w:rPr>
      </w:pPr>
      <w:r>
        <w:rPr>
          <w:rFonts w:cs="Times New Roman" w:ascii="arial" w:hAnsi="arial"/>
          <w:b/>
          <w:sz w:val="24"/>
          <w:szCs w:val="24"/>
        </w:rPr>
      </w:r>
    </w:p>
    <w:p>
      <w:pPr>
        <w:pStyle w:val="Normal"/>
        <w:spacing w:lineRule="auto" w:line="360"/>
        <w:jc w:val="center"/>
        <w:rPr>
          <w:rFonts w:ascii="arial" w:hAnsi="arial"/>
        </w:rPr>
      </w:pPr>
      <w:r>
        <w:rPr>
          <w:rFonts w:cs="Times New Roman" w:ascii="arial" w:hAnsi="arial"/>
          <w:b/>
          <w:sz w:val="24"/>
          <w:szCs w:val="24"/>
        </w:rPr>
        <w:t>LECTURERS IN THE DEPARTMENT OF PHILOSOPHY</w:t>
      </w:r>
    </w:p>
    <w:p>
      <w:pPr>
        <w:pStyle w:val="Normal"/>
        <w:spacing w:lineRule="auto" w:line="360"/>
        <w:rPr>
          <w:rFonts w:ascii="arial" w:hAnsi="arial"/>
        </w:rPr>
      </w:pPr>
      <w:r>
        <w:rPr>
          <w:rFonts w:cs="Times New Roman" w:ascii="arial" w:hAnsi="arial"/>
          <w:b/>
          <w:sz w:val="24"/>
          <w:szCs w:val="24"/>
        </w:rPr>
        <w:tab/>
        <w:t xml:space="preserve">List of Academic Staff and Qualifications in Philosophy Programme </w:t>
      </w:r>
    </w:p>
    <w:tbl>
      <w:tblPr>
        <w:tblStyle w:val="TableGrid"/>
        <w:tblW w:w="9281" w:type="dxa"/>
        <w:jc w:val="left"/>
        <w:tblInd w:w="-169" w:type="dxa"/>
        <w:tblLayout w:type="fixed"/>
        <w:tblCellMar>
          <w:top w:w="0" w:type="dxa"/>
          <w:left w:w="108" w:type="dxa"/>
          <w:bottom w:w="0" w:type="dxa"/>
          <w:right w:w="108" w:type="dxa"/>
        </w:tblCellMar>
        <w:tblLook w:noHBand="0" w:noVBand="1" w:firstColumn="1" w:lastRow="0" w:lastColumn="0" w:firstRow="1" w:val="04a0"/>
      </w:tblPr>
      <w:tblGrid>
        <w:gridCol w:w="619"/>
        <w:gridCol w:w="1725"/>
        <w:gridCol w:w="1458"/>
        <w:gridCol w:w="2497"/>
        <w:gridCol w:w="2982"/>
      </w:tblGrid>
      <w:tr>
        <w:trPr/>
        <w:tc>
          <w:tcPr>
            <w:tcW w:w="619" w:type="dxa"/>
            <w:tcBorders/>
          </w:tcPr>
          <w:p>
            <w:pPr>
              <w:pStyle w:val="Normal"/>
              <w:widowControl/>
              <w:suppressAutoHyphens w:val="true"/>
              <w:spacing w:lineRule="auto" w:line="240" w:before="0" w:after="200"/>
              <w:jc w:val="left"/>
              <w:rPr>
                <w:highlight w:val="none"/>
                <w:shd w:fill="auto" w:val="clear"/>
              </w:rPr>
            </w:pPr>
            <w:r>
              <w:rPr>
                <w:rFonts w:cs="Times New Roman" w:ascii="arial" w:hAnsi="arial"/>
                <w:b/>
                <w:kern w:val="0"/>
                <w:sz w:val="24"/>
                <w:szCs w:val="24"/>
                <w:shd w:fill="auto" w:val="clear"/>
                <w:lang w:eastAsia="en-US" w:bidi="ar-SA"/>
              </w:rPr>
              <w:t>S/N</w:t>
            </w:r>
          </w:p>
        </w:tc>
        <w:tc>
          <w:tcPr>
            <w:tcW w:w="1725" w:type="dxa"/>
            <w:tcBorders/>
          </w:tcPr>
          <w:p>
            <w:pPr>
              <w:pStyle w:val="Normal"/>
              <w:widowControl/>
              <w:suppressAutoHyphens w:val="true"/>
              <w:spacing w:lineRule="auto" w:line="240" w:before="0" w:after="200"/>
              <w:jc w:val="left"/>
              <w:rPr>
                <w:highlight w:val="none"/>
                <w:shd w:fill="auto" w:val="clear"/>
              </w:rPr>
            </w:pPr>
            <w:r>
              <w:rPr>
                <w:rFonts w:cs="Times New Roman" w:ascii="arial" w:hAnsi="arial"/>
                <w:b/>
                <w:kern w:val="0"/>
                <w:sz w:val="24"/>
                <w:szCs w:val="24"/>
                <w:shd w:fill="auto" w:val="clear"/>
                <w:lang w:eastAsia="en-US" w:bidi="ar-SA"/>
              </w:rPr>
              <w:t>NAME</w:t>
            </w:r>
          </w:p>
        </w:tc>
        <w:tc>
          <w:tcPr>
            <w:tcW w:w="1458" w:type="dxa"/>
            <w:tcBorders/>
          </w:tcPr>
          <w:p>
            <w:pPr>
              <w:pStyle w:val="Normal"/>
              <w:widowControl/>
              <w:suppressAutoHyphens w:val="true"/>
              <w:spacing w:lineRule="auto" w:line="240" w:before="0" w:after="200"/>
              <w:jc w:val="left"/>
              <w:rPr>
                <w:highlight w:val="none"/>
                <w:shd w:fill="auto" w:val="clear"/>
              </w:rPr>
            </w:pPr>
            <w:r>
              <w:rPr>
                <w:rFonts w:cs="Times New Roman" w:ascii="arial" w:hAnsi="arial"/>
                <w:b/>
                <w:kern w:val="0"/>
                <w:sz w:val="24"/>
                <w:szCs w:val="24"/>
                <w:shd w:fill="auto" w:val="clear"/>
                <w:lang w:eastAsia="en-US" w:bidi="ar-SA"/>
              </w:rPr>
              <w:t>RANK</w:t>
            </w:r>
          </w:p>
        </w:tc>
        <w:tc>
          <w:tcPr>
            <w:tcW w:w="2497" w:type="dxa"/>
            <w:tcBorders/>
          </w:tcPr>
          <w:p>
            <w:pPr>
              <w:pStyle w:val="Normal"/>
              <w:widowControl/>
              <w:suppressAutoHyphens w:val="true"/>
              <w:spacing w:lineRule="auto" w:line="240" w:before="0" w:after="200"/>
              <w:jc w:val="left"/>
              <w:rPr>
                <w:highlight w:val="none"/>
                <w:shd w:fill="auto" w:val="clear"/>
              </w:rPr>
            </w:pPr>
            <w:r>
              <w:rPr>
                <w:rFonts w:cs="Times New Roman" w:ascii="arial" w:hAnsi="arial"/>
                <w:b/>
                <w:kern w:val="0"/>
                <w:sz w:val="24"/>
                <w:szCs w:val="24"/>
                <w:shd w:fill="auto" w:val="clear"/>
                <w:lang w:eastAsia="en-US" w:bidi="ar-SA"/>
              </w:rPr>
              <w:t>QUALIFICATIONS</w:t>
            </w:r>
          </w:p>
        </w:tc>
        <w:tc>
          <w:tcPr>
            <w:tcW w:w="2982" w:type="dxa"/>
            <w:tcBorders/>
          </w:tcPr>
          <w:p>
            <w:pPr>
              <w:pStyle w:val="Normal"/>
              <w:widowControl/>
              <w:suppressAutoHyphens w:val="true"/>
              <w:spacing w:lineRule="auto" w:line="240" w:before="0" w:after="200"/>
              <w:jc w:val="center"/>
              <w:rPr>
                <w:highlight w:val="none"/>
                <w:shd w:fill="auto" w:val="clear"/>
              </w:rPr>
            </w:pPr>
            <w:r>
              <w:rPr>
                <w:rFonts w:cs="Times New Roman" w:ascii="arial" w:hAnsi="arial"/>
                <w:b/>
                <w:kern w:val="0"/>
                <w:sz w:val="24"/>
                <w:szCs w:val="24"/>
                <w:shd w:fill="auto" w:val="clear"/>
                <w:lang w:eastAsia="en-US" w:bidi="ar-SA"/>
              </w:rPr>
              <w:t>AREAS OF SPECIALISATION/RESEARCH INTEREST</w:t>
            </w:r>
          </w:p>
        </w:tc>
      </w:tr>
      <w:tr>
        <w:trPr/>
        <w:tc>
          <w:tcPr>
            <w:tcW w:w="619" w:type="dxa"/>
            <w:tcBorders/>
          </w:tcPr>
          <w:p>
            <w:pPr>
              <w:pStyle w:val="Normal"/>
              <w:widowControl/>
              <w:suppressAutoHyphens w:val="true"/>
              <w:spacing w:lineRule="auto" w:line="240" w:before="0" w:after="200"/>
              <w:jc w:val="right"/>
              <w:rPr>
                <w:rFonts w:ascii="arial" w:hAnsi="arial"/>
              </w:rPr>
            </w:pPr>
            <w:r>
              <w:rPr>
                <w:rFonts w:cs="Times New Roman" w:ascii="arial" w:hAnsi="arial"/>
                <w:b/>
                <w:kern w:val="0"/>
                <w:sz w:val="24"/>
                <w:szCs w:val="24"/>
                <w:lang w:eastAsia="en-US" w:bidi="ar-SA"/>
              </w:rPr>
              <w:t>1</w:t>
            </w:r>
          </w:p>
          <w:p>
            <w:pPr>
              <w:pStyle w:val="Normal"/>
              <w:widowControl/>
              <w:suppressAutoHyphens w:val="true"/>
              <w:spacing w:lineRule="auto" w:line="240" w:before="0" w:after="200"/>
              <w:jc w:val="right"/>
              <w:rPr>
                <w:rFonts w:ascii="arial" w:hAnsi="arial" w:cs="Times New Roman"/>
                <w:b/>
                <w:kern w:val="0"/>
                <w:sz w:val="24"/>
                <w:szCs w:val="24"/>
                <w:lang w:eastAsia="en-US" w:bidi="ar-SA"/>
              </w:rPr>
            </w:pPr>
            <w:r>
              <w:rPr>
                <w:rFonts w:cs="Times New Roman" w:ascii="arial" w:hAnsi="arial"/>
                <w:b/>
                <w:kern w:val="0"/>
                <w:sz w:val="24"/>
                <w:szCs w:val="24"/>
                <w:lang w:eastAsia="en-US" w:bidi="ar-SA"/>
              </w:rPr>
            </w:r>
          </w:p>
        </w:tc>
        <w:tc>
          <w:tcPr>
            <w:tcW w:w="1725"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 xml:space="preserve">Dr. </w:t>
            </w:r>
            <w:r>
              <w:rPr>
                <w:rFonts w:cs="Times New Roman" w:ascii="arial" w:hAnsi="arial"/>
                <w:kern w:val="0"/>
                <w:sz w:val="24"/>
                <w:szCs w:val="24"/>
                <w:lang w:eastAsia="en-US" w:bidi="ar-SA"/>
              </w:rPr>
              <w:t>Mark D. Ekperi</w:t>
            </w:r>
          </w:p>
        </w:tc>
        <w:tc>
          <w:tcPr>
            <w:tcW w:w="1458"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Lecturer</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1</w:t>
            </w:r>
          </w:p>
        </w:tc>
        <w:tc>
          <w:tcPr>
            <w:tcW w:w="2497"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 xml:space="preserve">B.A,M.A., </w:t>
            </w:r>
            <w:r>
              <w:rPr>
                <w:rFonts w:cs="Times New Roman" w:ascii="arial" w:hAnsi="arial"/>
                <w:kern w:val="0"/>
                <w:sz w:val="24"/>
                <w:szCs w:val="24"/>
                <w:lang w:eastAsia="en-US" w:bidi="ar-SA"/>
              </w:rPr>
              <w:t>PhD (</w:t>
            </w:r>
            <w:r>
              <w:rPr>
                <w:rFonts w:cs="Times New Roman" w:ascii="arial" w:hAnsi="arial"/>
                <w:kern w:val="0"/>
                <w:sz w:val="24"/>
                <w:szCs w:val="24"/>
                <w:lang w:eastAsia="en-US" w:bidi="ar-SA"/>
              </w:rPr>
              <w:t>UPH</w:t>
            </w:r>
            <w:r>
              <w:rPr>
                <w:rFonts w:cs="Times New Roman" w:ascii="arial" w:hAnsi="arial"/>
                <w:kern w:val="0"/>
                <w:sz w:val="24"/>
                <w:szCs w:val="24"/>
                <w:lang w:eastAsia="en-US" w:bidi="ar-SA"/>
              </w:rPr>
              <w:t>)</w:t>
            </w:r>
          </w:p>
          <w:p>
            <w:pPr>
              <w:pStyle w:val="Normal"/>
              <w:widowControl/>
              <w:suppressAutoHyphens w:val="true"/>
              <w:spacing w:lineRule="auto" w:line="240" w:before="0" w:after="200"/>
              <w:jc w:val="both"/>
              <w:rPr>
                <w:rFonts w:ascii="arial" w:hAnsi="arial" w:cs="Times New Roman"/>
                <w:kern w:val="0"/>
                <w:sz w:val="24"/>
                <w:szCs w:val="24"/>
                <w:lang w:eastAsia="en-US" w:bidi="ar-SA"/>
              </w:rPr>
            </w:pPr>
            <w:r>
              <w:rPr>
                <w:rFonts w:cs="Times New Roman" w:ascii="arial" w:hAnsi="arial"/>
                <w:kern w:val="0"/>
                <w:sz w:val="24"/>
                <w:szCs w:val="24"/>
                <w:lang w:eastAsia="en-US" w:bidi="ar-SA"/>
              </w:rPr>
            </w:r>
          </w:p>
        </w:tc>
        <w:tc>
          <w:tcPr>
            <w:tcW w:w="2982"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Ethics, Existentialism, Phenomenology Philosophy of Technology and Artificial Intelligence, Environmental Philosophy and Ethics, Research Methodology</w:t>
            </w:r>
          </w:p>
        </w:tc>
      </w:tr>
      <w:tr>
        <w:trPr/>
        <w:tc>
          <w:tcPr>
            <w:tcW w:w="619" w:type="dxa"/>
            <w:tcBorders>
              <w:top w:val="nil"/>
            </w:tcBorders>
          </w:tcPr>
          <w:p>
            <w:pPr>
              <w:pStyle w:val="Normal"/>
              <w:widowControl/>
              <w:suppressAutoHyphens w:val="true"/>
              <w:spacing w:lineRule="auto" w:line="360" w:before="0" w:after="200"/>
              <w:jc w:val="right"/>
              <w:rPr>
                <w:rFonts w:ascii="arial" w:hAnsi="arial"/>
              </w:rPr>
            </w:pPr>
            <w:r>
              <w:rPr>
                <w:rFonts w:cs="Times New Roman" w:ascii="arial" w:hAnsi="arial"/>
                <w:kern w:val="0"/>
                <w:sz w:val="24"/>
                <w:szCs w:val="24"/>
                <w:lang w:eastAsia="en-US" w:bidi="ar-SA"/>
              </w:rPr>
              <w:t>2.</w:t>
            </w:r>
          </w:p>
        </w:tc>
        <w:tc>
          <w:tcPr>
            <w:tcW w:w="1725" w:type="dxa"/>
            <w:tcBorders>
              <w:top w:val="nil"/>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Prof.</w:t>
            </w:r>
            <w:r>
              <w:rPr>
                <w:rFonts w:cs="Times New Roman" w:ascii="arial" w:hAnsi="arial"/>
                <w:kern w:val="0"/>
                <w:sz w:val="24"/>
                <w:szCs w:val="24"/>
                <w:lang w:eastAsia="en-US" w:bidi="ar-SA"/>
              </w:rPr>
              <w:t xml:space="preserve"> Ebikisei</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Stanley Udisi</w:t>
            </w:r>
          </w:p>
        </w:tc>
        <w:tc>
          <w:tcPr>
            <w:tcW w:w="1458" w:type="dxa"/>
            <w:tcBorders>
              <w:top w:val="nil"/>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Professor</w:t>
            </w:r>
          </w:p>
        </w:tc>
        <w:tc>
          <w:tcPr>
            <w:tcW w:w="2497" w:type="dxa"/>
            <w:tcBorders>
              <w:top w:val="nil"/>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 xml:space="preserve">B.A, M.A. (UPH). PhD </w:t>
            </w:r>
            <w:r>
              <w:rPr>
                <w:rFonts w:cs="Times New Roman" w:ascii="arial" w:hAnsi="arial"/>
                <w:kern w:val="0"/>
                <w:sz w:val="24"/>
                <w:szCs w:val="24"/>
                <w:lang w:eastAsia="en-US" w:bidi="ar-SA"/>
              </w:rPr>
              <w:t>(UNN)</w:t>
            </w:r>
          </w:p>
        </w:tc>
        <w:tc>
          <w:tcPr>
            <w:tcW w:w="2982" w:type="dxa"/>
            <w:tcBorders>
              <w:top w:val="nil"/>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Social and Political Philosophy, African Philosophy</w:t>
            </w:r>
            <w:r>
              <w:rPr>
                <w:rFonts w:cs="" w:ascii="arial" w:hAnsi="arial"/>
                <w:kern w:val="0"/>
                <w:sz w:val="24"/>
                <w:szCs w:val="24"/>
                <w:lang w:eastAsia="en-US" w:bidi="ar-SA"/>
              </w:rPr>
              <w:t>, Philosophy of Development and Comparative Philosophy</w:t>
            </w:r>
          </w:p>
        </w:tc>
      </w:tr>
      <w:tr>
        <w:trPr/>
        <w:tc>
          <w:tcPr>
            <w:tcW w:w="619" w:type="dxa"/>
            <w:tcBorders/>
          </w:tcPr>
          <w:p>
            <w:pPr>
              <w:pStyle w:val="TableContents"/>
              <w:widowControl w:val="false"/>
              <w:spacing w:before="0" w:after="0"/>
              <w:jc w:val="right"/>
              <w:rPr>
                <w:rFonts w:ascii="arial" w:hAnsi="arial"/>
              </w:rPr>
            </w:pPr>
            <w:r>
              <w:rPr>
                <w:rFonts w:ascii="arial" w:hAnsi="arial"/>
                <w:kern w:val="0"/>
                <w:sz w:val="24"/>
                <w:szCs w:val="24"/>
              </w:rPr>
              <w:t>3</w:t>
            </w:r>
          </w:p>
        </w:tc>
        <w:tc>
          <w:tcPr>
            <w:tcW w:w="1725"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Prof.</w:t>
            </w:r>
            <w:r>
              <w:rPr>
                <w:rFonts w:cs="Times New Roman" w:ascii="arial" w:hAnsi="arial"/>
                <w:kern w:val="0"/>
                <w:sz w:val="24"/>
                <w:szCs w:val="24"/>
                <w:lang w:eastAsia="en-US" w:bidi="ar-SA"/>
              </w:rPr>
              <w:t xml:space="preserve"> Azibalua Onyagholo</w:t>
            </w:r>
          </w:p>
        </w:tc>
        <w:tc>
          <w:tcPr>
            <w:tcW w:w="1458"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Professor</w:t>
            </w:r>
          </w:p>
        </w:tc>
        <w:tc>
          <w:tcPr>
            <w:tcW w:w="2497"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B.A. (Hons) Philosophy, University of Port-Harcourt, 1997.</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M.A. in Social and Political Philosophy, University of Port-Harcourt, 2006.</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PhD., Social and Political Philosophy, University of Port Harcourt. 2017</w:t>
            </w:r>
          </w:p>
        </w:tc>
        <w:tc>
          <w:tcPr>
            <w:tcW w:w="2982"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Social and Political Philosophy</w:t>
            </w:r>
            <w:r>
              <w:rPr>
                <w:rFonts w:cs="" w:ascii="arial" w:hAnsi="arial"/>
                <w:kern w:val="0"/>
                <w:sz w:val="24"/>
                <w:szCs w:val="24"/>
                <w:lang w:eastAsia="en-US" w:bidi="ar-SA"/>
              </w:rPr>
              <w:t>, Metaphysics and Environmental Philosophy</w:t>
            </w:r>
          </w:p>
        </w:tc>
      </w:tr>
      <w:tr>
        <w:trPr/>
        <w:tc>
          <w:tcPr>
            <w:tcW w:w="619" w:type="dxa"/>
            <w:tcBorders/>
          </w:tcPr>
          <w:p>
            <w:pPr>
              <w:pStyle w:val="TableContents"/>
              <w:widowControl w:val="false"/>
              <w:spacing w:before="0" w:after="0"/>
              <w:jc w:val="right"/>
              <w:rPr>
                <w:rFonts w:ascii="arial" w:hAnsi="arial"/>
              </w:rPr>
            </w:pPr>
            <w:r>
              <w:rPr>
                <w:rFonts w:ascii="arial" w:hAnsi="arial"/>
                <w:kern w:val="0"/>
                <w:sz w:val="24"/>
                <w:szCs w:val="24"/>
              </w:rPr>
              <w:t>4</w:t>
            </w:r>
          </w:p>
        </w:tc>
        <w:tc>
          <w:tcPr>
            <w:tcW w:w="1725" w:type="dxa"/>
            <w:tcBorders/>
          </w:tcPr>
          <w:p>
            <w:pPr>
              <w:pStyle w:val="Normal"/>
              <w:widowControl w:val="false"/>
              <w:suppressAutoHyphens w:val="true"/>
              <w:spacing w:before="0" w:after="200"/>
              <w:jc w:val="left"/>
              <w:rPr>
                <w:rFonts w:ascii="arial" w:hAnsi="arial"/>
              </w:rPr>
            </w:pPr>
            <w:r>
              <w:rPr>
                <w:rFonts w:cs="" w:ascii="arial" w:hAnsi="arial"/>
                <w:kern w:val="0"/>
                <w:lang w:eastAsia="en-US" w:bidi="ar-SA"/>
              </w:rPr>
              <w:t>Prof. F. I. Minimah</w:t>
            </w:r>
          </w:p>
        </w:tc>
        <w:tc>
          <w:tcPr>
            <w:tcW w:w="1458" w:type="dxa"/>
            <w:tcBorders/>
          </w:tcPr>
          <w:p>
            <w:pPr>
              <w:pStyle w:val="TableContents"/>
              <w:widowControl w:val="false"/>
              <w:spacing w:before="0" w:after="0"/>
              <w:jc w:val="left"/>
              <w:rPr>
                <w:rFonts w:ascii="arial" w:hAnsi="arial"/>
              </w:rPr>
            </w:pPr>
            <w:r>
              <w:rPr>
                <w:rFonts w:cs="Times New Roman" w:ascii="arial" w:hAnsi="arial"/>
                <w:color w:val="000000"/>
                <w:kern w:val="0"/>
                <w:sz w:val="24"/>
                <w:szCs w:val="24"/>
              </w:rPr>
              <w:t>Professor</w:t>
            </w:r>
          </w:p>
        </w:tc>
        <w:tc>
          <w:tcPr>
            <w:tcW w:w="2497" w:type="dxa"/>
            <w:tcBorders/>
          </w:tcPr>
          <w:p>
            <w:pPr>
              <w:pStyle w:val="NormalWeb"/>
              <w:widowControl/>
              <w:suppressAutoHyphens w:val="true"/>
              <w:spacing w:beforeAutospacing="0" w:before="0" w:afterAutospacing="0" w:after="0"/>
              <w:jc w:val="left"/>
              <w:rPr>
                <w:rFonts w:ascii="arial" w:hAnsi="arial"/>
              </w:rPr>
            </w:pPr>
            <w:r>
              <w:rPr>
                <w:rFonts w:ascii="arial" w:hAnsi="arial"/>
                <w:kern w:val="0"/>
                <w:sz w:val="22"/>
                <w:szCs w:val="22"/>
                <w:lang w:eastAsia="en-US" w:bidi="ar-SA"/>
              </w:rPr>
              <w:t>BA, (UPH), M.A.(Calabar) PhD (UPH)</w:t>
            </w:r>
          </w:p>
        </w:tc>
        <w:tc>
          <w:tcPr>
            <w:tcW w:w="2982" w:type="dxa"/>
            <w:tcBorders/>
          </w:tcPr>
          <w:p>
            <w:pPr>
              <w:pStyle w:val="Normal"/>
              <w:widowControl/>
              <w:suppressAutoHyphens w:val="true"/>
              <w:spacing w:lineRule="auto" w:line="360" w:before="0" w:after="200"/>
              <w:jc w:val="both"/>
              <w:rPr>
                <w:rFonts w:ascii="arial" w:hAnsi="arial"/>
              </w:rPr>
            </w:pPr>
            <w:r>
              <w:rPr>
                <w:rFonts w:eastAsia="Times New Roman" w:cs="Times New Roman" w:ascii="arial" w:hAnsi="arial"/>
                <w:kern w:val="0"/>
                <w:lang w:val="en-US" w:eastAsia="en-US" w:bidi="ar-SA"/>
              </w:rPr>
              <w:t xml:space="preserve">Epistemology, </w:t>
              <w:br/>
              <w:t>Analytic philosophy, Philosophy of Mind, Ancient Philosophy</w:t>
            </w:r>
          </w:p>
        </w:tc>
      </w:tr>
      <w:tr>
        <w:trPr/>
        <w:tc>
          <w:tcPr>
            <w:tcW w:w="619" w:type="dxa"/>
            <w:tcBorders/>
          </w:tcPr>
          <w:p>
            <w:pPr>
              <w:pStyle w:val="TableContents"/>
              <w:widowControl w:val="false"/>
              <w:spacing w:before="0" w:after="0"/>
              <w:jc w:val="right"/>
              <w:rPr>
                <w:rFonts w:ascii="arial" w:hAnsi="arial"/>
              </w:rPr>
            </w:pPr>
            <w:r>
              <w:rPr>
                <w:rFonts w:ascii="arial" w:hAnsi="arial"/>
                <w:kern w:val="0"/>
                <w:sz w:val="24"/>
                <w:szCs w:val="24"/>
              </w:rPr>
              <w:t>5</w:t>
            </w:r>
          </w:p>
        </w:tc>
        <w:tc>
          <w:tcPr>
            <w:tcW w:w="1725" w:type="dxa"/>
            <w:tcBorders/>
          </w:tcPr>
          <w:p>
            <w:pPr>
              <w:pStyle w:val="Normal"/>
              <w:widowControl w:val="false"/>
              <w:suppressAutoHyphens w:val="true"/>
              <w:spacing w:before="0" w:after="200"/>
              <w:jc w:val="left"/>
              <w:rPr>
                <w:rFonts w:ascii="arial" w:hAnsi="arial"/>
              </w:rPr>
            </w:pPr>
            <w:r>
              <w:rPr>
                <w:rFonts w:cs="" w:ascii="arial" w:hAnsi="arial"/>
                <w:kern w:val="0"/>
                <w:lang w:eastAsia="en-US" w:bidi="ar-SA"/>
              </w:rPr>
              <w:t>Prof. T. V. Ogan</w:t>
            </w:r>
          </w:p>
        </w:tc>
        <w:tc>
          <w:tcPr>
            <w:tcW w:w="1458" w:type="dxa"/>
            <w:tcBorders/>
          </w:tcPr>
          <w:p>
            <w:pPr>
              <w:pStyle w:val="TableContents"/>
              <w:widowControl w:val="false"/>
              <w:spacing w:before="0" w:after="0"/>
              <w:jc w:val="left"/>
              <w:rPr>
                <w:rFonts w:ascii="arial" w:hAnsi="arial"/>
              </w:rPr>
            </w:pPr>
            <w:r>
              <w:rPr>
                <w:rFonts w:cs="Times New Roman" w:ascii="arial" w:hAnsi="arial"/>
                <w:color w:val="000000"/>
                <w:kern w:val="0"/>
                <w:sz w:val="24"/>
                <w:szCs w:val="24"/>
              </w:rPr>
              <w:t>Professor</w:t>
            </w:r>
          </w:p>
        </w:tc>
        <w:tc>
          <w:tcPr>
            <w:tcW w:w="2497" w:type="dxa"/>
            <w:tcBorders/>
          </w:tcPr>
          <w:p>
            <w:pPr>
              <w:pStyle w:val="Normal"/>
              <w:widowControl/>
              <w:suppressAutoHyphens w:val="true"/>
              <w:spacing w:lineRule="atLeast" w:line="240" w:before="0" w:after="200"/>
              <w:jc w:val="both"/>
              <w:rPr>
                <w:rFonts w:ascii="arial" w:hAnsi="arial"/>
              </w:rPr>
            </w:pPr>
            <w:r>
              <w:rPr>
                <w:rFonts w:cs="" w:ascii="arial" w:hAnsi="arial"/>
                <w:kern w:val="0"/>
                <w:lang w:eastAsia="en-US" w:bidi="ar-SA"/>
              </w:rPr>
              <w:t>B.A; M.A. (Calabar) PhD (UPH)</w:t>
            </w:r>
          </w:p>
        </w:tc>
        <w:tc>
          <w:tcPr>
            <w:tcW w:w="2982" w:type="dxa"/>
            <w:tcBorders/>
          </w:tcPr>
          <w:p>
            <w:pPr>
              <w:pStyle w:val="Normal"/>
              <w:widowControl/>
              <w:suppressAutoHyphens w:val="true"/>
              <w:spacing w:lineRule="auto" w:line="360" w:before="0" w:after="200"/>
              <w:jc w:val="both"/>
              <w:rPr>
                <w:rFonts w:ascii="arial" w:hAnsi="arial"/>
              </w:rPr>
            </w:pPr>
            <w:r>
              <w:rPr>
                <w:rFonts w:cs="" w:ascii="arial" w:hAnsi="arial"/>
                <w:kern w:val="0"/>
                <w:lang w:eastAsia="en-US" w:bidi="ar-SA"/>
              </w:rPr>
              <w:t xml:space="preserve">Philosophy &amp; </w:t>
              <w:br/>
              <w:t xml:space="preserve">Theories of </w:t>
              <w:br/>
              <w:t xml:space="preserve">Development; African </w:t>
              <w:br/>
              <w:t xml:space="preserve">Philosophy; Contemporary </w:t>
              <w:br/>
              <w:t>Issues in Ethics</w:t>
            </w:r>
          </w:p>
        </w:tc>
      </w:tr>
      <w:tr>
        <w:trPr/>
        <w:tc>
          <w:tcPr>
            <w:tcW w:w="619" w:type="dxa"/>
            <w:tcBorders/>
          </w:tcPr>
          <w:p>
            <w:pPr>
              <w:pStyle w:val="TableContents"/>
              <w:widowControl w:val="false"/>
              <w:spacing w:before="0" w:after="0"/>
              <w:jc w:val="right"/>
              <w:rPr>
                <w:rFonts w:ascii="arial" w:hAnsi="arial"/>
              </w:rPr>
            </w:pPr>
            <w:r>
              <w:rPr>
                <w:rFonts w:ascii="arial" w:hAnsi="arial"/>
                <w:kern w:val="0"/>
                <w:sz w:val="24"/>
                <w:szCs w:val="24"/>
              </w:rPr>
              <w:t>6</w:t>
            </w:r>
          </w:p>
        </w:tc>
        <w:tc>
          <w:tcPr>
            <w:tcW w:w="1725" w:type="dxa"/>
            <w:tcBorders/>
          </w:tcPr>
          <w:p>
            <w:pPr>
              <w:pStyle w:val="Normal"/>
              <w:widowControl w:val="false"/>
              <w:suppressAutoHyphens w:val="true"/>
              <w:spacing w:before="0" w:after="200"/>
              <w:jc w:val="left"/>
              <w:rPr>
                <w:rFonts w:ascii="arial" w:hAnsi="arial"/>
              </w:rPr>
            </w:pPr>
            <w:r>
              <w:rPr>
                <w:rFonts w:cs="" w:ascii="arial" w:hAnsi="arial"/>
                <w:kern w:val="0"/>
                <w:lang w:eastAsia="en-US" w:bidi="ar-SA"/>
              </w:rPr>
              <w:t>Prof. E. U. Ezedike</w:t>
            </w:r>
          </w:p>
        </w:tc>
        <w:tc>
          <w:tcPr>
            <w:tcW w:w="1458" w:type="dxa"/>
            <w:tcBorders/>
          </w:tcPr>
          <w:p>
            <w:pPr>
              <w:pStyle w:val="TableContents"/>
              <w:widowControl w:val="false"/>
              <w:spacing w:before="0" w:after="0"/>
              <w:jc w:val="left"/>
              <w:rPr>
                <w:rFonts w:ascii="arial" w:hAnsi="arial"/>
              </w:rPr>
            </w:pPr>
            <w:r>
              <w:rPr>
                <w:rFonts w:cs="Times New Roman" w:ascii="arial" w:hAnsi="arial"/>
                <w:color w:val="000000"/>
                <w:kern w:val="0"/>
                <w:sz w:val="24"/>
                <w:szCs w:val="24"/>
              </w:rPr>
              <w:t>Professor</w:t>
            </w:r>
          </w:p>
        </w:tc>
        <w:tc>
          <w:tcPr>
            <w:tcW w:w="2497" w:type="dxa"/>
            <w:tcBorders/>
          </w:tcPr>
          <w:p>
            <w:pPr>
              <w:pStyle w:val="Normal"/>
              <w:widowControl/>
              <w:suppressAutoHyphens w:val="true"/>
              <w:spacing w:lineRule="atLeast" w:line="240" w:before="0" w:after="200"/>
              <w:jc w:val="both"/>
              <w:rPr>
                <w:rFonts w:ascii="arial" w:hAnsi="arial"/>
              </w:rPr>
            </w:pPr>
            <w:r>
              <w:rPr>
                <w:rFonts w:cs="" w:ascii="arial" w:hAnsi="arial"/>
                <w:kern w:val="0"/>
                <w:lang w:eastAsia="en-US" w:bidi="ar-SA"/>
              </w:rPr>
              <w:t>B.A, M.A. PhD. (Calabar)</w:t>
            </w:r>
          </w:p>
        </w:tc>
        <w:tc>
          <w:tcPr>
            <w:tcW w:w="2982" w:type="dxa"/>
            <w:tcBorders/>
          </w:tcPr>
          <w:p>
            <w:pPr>
              <w:pStyle w:val="NormalWeb"/>
              <w:widowControl/>
              <w:suppressAutoHyphens w:val="true"/>
              <w:spacing w:beforeAutospacing="0" w:before="0" w:afterAutospacing="0" w:after="0"/>
              <w:jc w:val="left"/>
              <w:rPr>
                <w:rFonts w:ascii="arial" w:hAnsi="arial"/>
              </w:rPr>
            </w:pPr>
            <w:r>
              <w:rPr>
                <w:rFonts w:ascii="arial" w:hAnsi="arial"/>
                <w:kern w:val="0"/>
                <w:sz w:val="22"/>
                <w:szCs w:val="22"/>
                <w:lang w:eastAsia="en-US" w:bidi="ar-SA"/>
              </w:rPr>
              <w:t>Applied Ethics (Environmental Ethics, Bioethics, Professional Ethics); African Philosophy;</w:t>
            </w:r>
          </w:p>
          <w:p>
            <w:pPr>
              <w:pStyle w:val="Normal"/>
              <w:widowControl/>
              <w:suppressAutoHyphens w:val="true"/>
              <w:spacing w:lineRule="auto" w:line="360" w:before="0" w:after="200"/>
              <w:jc w:val="both"/>
              <w:rPr>
                <w:rFonts w:ascii="arial" w:hAnsi="arial"/>
              </w:rPr>
            </w:pPr>
            <w:r>
              <w:rPr>
                <w:rFonts w:cs="" w:ascii="arial" w:hAnsi="arial"/>
                <w:kern w:val="0"/>
                <w:lang w:eastAsia="en-US" w:bidi="ar-SA"/>
              </w:rPr>
              <w:t>Philosophy of Education; Philosophy of Gender and Human Rights</w:t>
            </w:r>
          </w:p>
          <w:p>
            <w:pPr>
              <w:pStyle w:val="Normal"/>
              <w:widowControl/>
              <w:suppressAutoHyphens w:val="true"/>
              <w:spacing w:lineRule="auto" w:line="360" w:before="0" w:after="200"/>
              <w:jc w:val="both"/>
              <w:rPr>
                <w:rFonts w:ascii="arial" w:hAnsi="arial" w:cs="Times New Roman"/>
                <w:kern w:val="0"/>
                <w:sz w:val="24"/>
                <w:szCs w:val="24"/>
                <w:lang w:eastAsia="en-US" w:bidi="ar-SA"/>
              </w:rPr>
            </w:pPr>
            <w:r>
              <w:rPr>
                <w:rFonts w:cs="Times New Roman" w:ascii="arial" w:hAnsi="arial"/>
                <w:kern w:val="0"/>
                <w:sz w:val="24"/>
                <w:szCs w:val="24"/>
                <w:lang w:eastAsia="en-US" w:bidi="ar-SA"/>
              </w:rPr>
            </w:r>
          </w:p>
        </w:tc>
      </w:tr>
      <w:tr>
        <w:trPr/>
        <w:tc>
          <w:tcPr>
            <w:tcW w:w="619" w:type="dxa"/>
            <w:tcBorders/>
          </w:tcPr>
          <w:p>
            <w:pPr>
              <w:pStyle w:val="Normal"/>
              <w:widowControl/>
              <w:suppressAutoHyphens w:val="true"/>
              <w:spacing w:lineRule="auto" w:line="360" w:before="0" w:after="200"/>
              <w:jc w:val="right"/>
              <w:rPr>
                <w:rFonts w:ascii="arial" w:hAnsi="arial"/>
              </w:rPr>
            </w:pPr>
            <w:r>
              <w:rPr>
                <w:rFonts w:cs="Times New Roman" w:ascii="arial" w:hAnsi="arial"/>
                <w:kern w:val="0"/>
                <w:sz w:val="24"/>
                <w:szCs w:val="24"/>
                <w:lang w:eastAsia="en-US" w:bidi="ar-SA"/>
              </w:rPr>
              <w:t>7</w:t>
            </w:r>
          </w:p>
        </w:tc>
        <w:tc>
          <w:tcPr>
            <w:tcW w:w="1725" w:type="dxa"/>
            <w:tcBorders/>
          </w:tcPr>
          <w:p>
            <w:pPr>
              <w:pStyle w:val="Normal"/>
              <w:widowControl w:val="false"/>
              <w:suppressAutoHyphens w:val="true"/>
              <w:spacing w:before="0" w:after="200"/>
              <w:jc w:val="left"/>
              <w:rPr>
                <w:rFonts w:ascii="arial" w:hAnsi="arial"/>
              </w:rPr>
            </w:pPr>
            <w:r>
              <w:rPr>
                <w:rFonts w:cs="" w:ascii="arial" w:hAnsi="arial"/>
                <w:kern w:val="0"/>
                <w:lang w:eastAsia="en-US" w:bidi="ar-SA"/>
              </w:rPr>
              <w:t>Prof. C. O. Akpan</w:t>
            </w:r>
          </w:p>
        </w:tc>
        <w:tc>
          <w:tcPr>
            <w:tcW w:w="1458" w:type="dxa"/>
            <w:tcBorders/>
          </w:tcPr>
          <w:p>
            <w:pPr>
              <w:pStyle w:val="TableContents"/>
              <w:widowControl w:val="false"/>
              <w:spacing w:before="0" w:after="0"/>
              <w:jc w:val="left"/>
              <w:rPr>
                <w:rFonts w:ascii="arial" w:hAnsi="arial"/>
              </w:rPr>
            </w:pPr>
            <w:r>
              <w:rPr>
                <w:rFonts w:cs="Times New Roman" w:ascii="arial" w:hAnsi="arial"/>
                <w:color w:val="000000"/>
                <w:kern w:val="0"/>
                <w:sz w:val="24"/>
                <w:szCs w:val="24"/>
              </w:rPr>
              <w:t>Professor</w:t>
            </w:r>
          </w:p>
        </w:tc>
        <w:tc>
          <w:tcPr>
            <w:tcW w:w="2497" w:type="dxa"/>
            <w:tcBorders/>
          </w:tcPr>
          <w:p>
            <w:pPr>
              <w:pStyle w:val="Normal"/>
              <w:widowControl/>
              <w:suppressAutoHyphens w:val="true"/>
              <w:spacing w:lineRule="atLeast" w:line="240" w:before="0" w:after="200"/>
              <w:jc w:val="left"/>
              <w:rPr/>
            </w:pPr>
            <w:r>
              <w:rPr>
                <w:rFonts w:cs="" w:ascii="arial" w:hAnsi="arial"/>
                <w:kern w:val="0"/>
                <w:lang w:eastAsia="en-US" w:bidi="ar-SA"/>
              </w:rPr>
              <w:t>B.A, M.A. PhD. (Calabar)</w:t>
            </w:r>
          </w:p>
        </w:tc>
        <w:tc>
          <w:tcPr>
            <w:tcW w:w="2982" w:type="dxa"/>
            <w:tcBorders/>
          </w:tcPr>
          <w:p>
            <w:pPr>
              <w:pStyle w:val="Normal"/>
              <w:widowControl/>
              <w:suppressAutoHyphens w:val="true"/>
              <w:spacing w:lineRule="auto" w:line="360" w:before="0" w:after="200"/>
              <w:jc w:val="both"/>
              <w:rPr>
                <w:rFonts w:ascii="arial" w:hAnsi="arial"/>
              </w:rPr>
            </w:pPr>
            <w:r>
              <w:rPr>
                <w:rFonts w:cs="Times New Roman" w:ascii="arial" w:hAnsi="arial"/>
                <w:kern w:val="0"/>
                <w:sz w:val="24"/>
                <w:szCs w:val="24"/>
                <w:lang w:eastAsia="en-US" w:bidi="ar-SA"/>
              </w:rPr>
              <w:t>Logic, Philosophy of Social Science, Philosophy of Science</w:t>
            </w:r>
            <w:r>
              <w:rPr>
                <w:rFonts w:cs="" w:ascii="arial" w:hAnsi="arial"/>
                <w:kern w:val="0"/>
                <w:sz w:val="24"/>
                <w:szCs w:val="24"/>
                <w:lang w:eastAsia="en-US" w:bidi="ar-SA"/>
              </w:rPr>
              <w:t>, Epistemology, Research Methodology, History of Philosophy</w:t>
            </w:r>
          </w:p>
        </w:tc>
      </w:tr>
      <w:tr>
        <w:trPr/>
        <w:tc>
          <w:tcPr>
            <w:tcW w:w="619" w:type="dxa"/>
            <w:tcBorders/>
          </w:tcPr>
          <w:p>
            <w:pPr>
              <w:pStyle w:val="Normal"/>
              <w:widowControl/>
              <w:suppressAutoHyphens w:val="true"/>
              <w:spacing w:lineRule="auto" w:line="360" w:before="0" w:after="200"/>
              <w:jc w:val="right"/>
              <w:rPr>
                <w:rFonts w:ascii="arial" w:hAnsi="arial"/>
              </w:rPr>
            </w:pPr>
            <w:r>
              <w:rPr>
                <w:rFonts w:cs="Times New Roman" w:ascii="arial" w:hAnsi="arial"/>
                <w:kern w:val="0"/>
                <w:sz w:val="24"/>
                <w:szCs w:val="24"/>
                <w:lang w:eastAsia="en-US" w:bidi="ar-SA"/>
              </w:rPr>
              <w:t>8</w:t>
            </w:r>
          </w:p>
        </w:tc>
        <w:tc>
          <w:tcPr>
            <w:tcW w:w="1725"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Prof. Jacob Aleonote Aigbodioh</w:t>
            </w:r>
          </w:p>
        </w:tc>
        <w:tc>
          <w:tcPr>
            <w:tcW w:w="1458"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Professor</w:t>
            </w:r>
          </w:p>
        </w:tc>
        <w:tc>
          <w:tcPr>
            <w:tcW w:w="2497" w:type="dxa"/>
            <w:tcBorders/>
          </w:tcPr>
          <w:p>
            <w:pPr>
              <w:pStyle w:val="Normal"/>
              <w:widowControl/>
              <w:suppressAutoHyphens w:val="true"/>
              <w:spacing w:lineRule="auto" w:line="240" w:before="0" w:after="200"/>
              <w:jc w:val="left"/>
              <w:rPr/>
            </w:pPr>
            <w:r>
              <w:rPr>
                <w:rFonts w:cs="Times New Roman" w:ascii="arial" w:hAnsi="arial"/>
                <w:kern w:val="0"/>
                <w:sz w:val="24"/>
                <w:szCs w:val="24"/>
                <w:lang w:eastAsia="en-US" w:bidi="ar-SA"/>
              </w:rPr>
              <w:t>B.A. (Hons),</w:t>
            </w:r>
            <w:r>
              <w:rPr>
                <w:rFonts w:cs="Times New Roman" w:ascii="arial" w:hAnsi="arial"/>
                <w:kern w:val="0"/>
                <w:sz w:val="24"/>
                <w:szCs w:val="24"/>
                <w:lang w:eastAsia="en-US" w:bidi="ar-SA"/>
              </w:rPr>
              <w:t xml:space="preserve"> Philosophy and Religious Studies</w:t>
            </w:r>
            <w:r>
              <w:rPr>
                <w:rFonts w:cs="Times New Roman" w:ascii="arial" w:hAnsi="arial"/>
                <w:kern w:val="0"/>
                <w:sz w:val="24"/>
                <w:szCs w:val="24"/>
                <w:lang w:eastAsia="en-US" w:bidi="ar-SA"/>
              </w:rPr>
              <w:t xml:space="preserve">, M.A. </w:t>
            </w:r>
            <w:r>
              <w:rPr>
                <w:rFonts w:cs="Times New Roman" w:ascii="arial" w:hAnsi="arial"/>
                <w:kern w:val="0"/>
                <w:sz w:val="24"/>
                <w:szCs w:val="24"/>
                <w:lang w:eastAsia="en-US" w:bidi="ar-SA"/>
              </w:rPr>
              <w:t>Philosophy (Epistemology), PhD, Philosophy</w:t>
            </w:r>
            <w:r>
              <w:rPr>
                <w:rFonts w:cs="Times New Roman" w:ascii="arial" w:hAnsi="arial"/>
                <w:kern w:val="0"/>
                <w:sz w:val="24"/>
                <w:szCs w:val="24"/>
                <w:lang w:eastAsia="en-US" w:bidi="ar-SA"/>
              </w:rPr>
              <w:t xml:space="preserve"> </w:t>
            </w:r>
            <w:r>
              <w:rPr>
                <w:rFonts w:cs="Times New Roman" w:ascii="arial" w:hAnsi="arial"/>
                <w:kern w:val="0"/>
                <w:sz w:val="24"/>
                <w:szCs w:val="24"/>
                <w:lang w:eastAsia="en-US" w:bidi="ar-SA"/>
              </w:rPr>
              <w:t>(Ibadan).</w:t>
            </w:r>
          </w:p>
        </w:tc>
        <w:tc>
          <w:tcPr>
            <w:tcW w:w="2982" w:type="dxa"/>
            <w:tcBorders/>
          </w:tcPr>
          <w:p>
            <w:pPr>
              <w:pStyle w:val="Normal"/>
              <w:widowControl/>
              <w:suppressAutoHyphens w:val="true"/>
              <w:spacing w:lineRule="auto" w:line="240" w:before="0" w:after="200"/>
              <w:jc w:val="both"/>
              <w:rPr>
                <w:rFonts w:ascii="arial" w:hAnsi="arial"/>
              </w:rPr>
            </w:pPr>
            <w:r>
              <w:rPr>
                <w:rFonts w:cs="" w:ascii="arial" w:hAnsi="arial"/>
                <w:kern w:val="0"/>
                <w:sz w:val="24"/>
                <w:szCs w:val="24"/>
                <w:lang w:eastAsia="en-US" w:bidi="ar-SA"/>
              </w:rPr>
              <w:t>Epistemology, Philosophy of Sciences, Philosophy of Language, Logic</w:t>
            </w:r>
          </w:p>
        </w:tc>
      </w:tr>
      <w:tr>
        <w:trPr/>
        <w:tc>
          <w:tcPr>
            <w:tcW w:w="619" w:type="dxa"/>
            <w:tcBorders/>
          </w:tcPr>
          <w:p>
            <w:pPr>
              <w:pStyle w:val="Normal"/>
              <w:widowControl/>
              <w:suppressAutoHyphens w:val="true"/>
              <w:spacing w:lineRule="auto" w:line="360" w:before="0" w:after="200"/>
              <w:jc w:val="right"/>
              <w:rPr>
                <w:rFonts w:ascii="arial" w:hAnsi="arial"/>
              </w:rPr>
            </w:pPr>
            <w:r>
              <w:rPr>
                <w:rFonts w:cs="Times New Roman" w:ascii="arial" w:hAnsi="arial"/>
                <w:kern w:val="0"/>
                <w:sz w:val="24"/>
                <w:szCs w:val="24"/>
                <w:lang w:eastAsia="en-US" w:bidi="ar-SA"/>
              </w:rPr>
              <w:t>10</w:t>
            </w:r>
          </w:p>
        </w:tc>
        <w:tc>
          <w:tcPr>
            <w:tcW w:w="1725" w:type="dxa"/>
            <w:tcBorders/>
          </w:tcPr>
          <w:p>
            <w:pPr>
              <w:pStyle w:val="Normal"/>
              <w:widowControl/>
              <w:suppressAutoHyphens w:val="true"/>
              <w:spacing w:lineRule="auto" w:line="240" w:before="0" w:after="200"/>
              <w:jc w:val="left"/>
              <w:rPr>
                <w:rFonts w:ascii="arial" w:hAnsi="arial"/>
              </w:rPr>
            </w:pPr>
            <w:r>
              <w:rPr>
                <w:rFonts w:cs="Times New Roman" w:ascii="arial" w:hAnsi="arial"/>
                <w:kern w:val="0"/>
                <w:sz w:val="24"/>
                <w:szCs w:val="24"/>
                <w:lang w:eastAsia="en-US" w:bidi="ar-SA"/>
              </w:rPr>
              <w:t>Prof</w:t>
            </w:r>
            <w:r>
              <w:rPr>
                <w:rFonts w:cs="Times New Roman" w:ascii="arial" w:hAnsi="arial"/>
                <w:kern w:val="0"/>
                <w:sz w:val="24"/>
                <w:szCs w:val="24"/>
                <w:lang w:eastAsia="en-US" w:bidi="ar-SA"/>
              </w:rPr>
              <w:t>. Gabriel Independenc</w:t>
            </w:r>
            <w:r>
              <w:rPr>
                <w:rFonts w:cs="Times New Roman" w:ascii="arial" w:hAnsi="arial"/>
                <w:kern w:val="0"/>
                <w:sz w:val="24"/>
                <w:szCs w:val="24"/>
                <w:lang w:eastAsia="en-US" w:bidi="ar-SA"/>
              </w:rPr>
              <w:t>e</w:t>
            </w:r>
          </w:p>
        </w:tc>
        <w:tc>
          <w:tcPr>
            <w:tcW w:w="1458"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Professor</w:t>
            </w:r>
          </w:p>
        </w:tc>
        <w:tc>
          <w:tcPr>
            <w:tcW w:w="2497"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B.A. (Hons), M.A</w:t>
            </w:r>
            <w:r>
              <w:rPr>
                <w:rFonts w:cs="Times New Roman" w:ascii="arial" w:hAnsi="arial"/>
                <w:kern w:val="0"/>
                <w:sz w:val="24"/>
                <w:szCs w:val="24"/>
                <w:lang w:eastAsia="en-US" w:bidi="ar-SA"/>
              </w:rPr>
              <w:t>, PhD (UPH)</w:t>
            </w:r>
          </w:p>
        </w:tc>
        <w:tc>
          <w:tcPr>
            <w:tcW w:w="2982"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Philosophy of Religion</w:t>
            </w:r>
          </w:p>
        </w:tc>
      </w:tr>
      <w:tr>
        <w:trPr/>
        <w:tc>
          <w:tcPr>
            <w:tcW w:w="619" w:type="dxa"/>
            <w:tcBorders/>
          </w:tcPr>
          <w:p>
            <w:pPr>
              <w:pStyle w:val="Normal"/>
              <w:widowControl/>
              <w:suppressAutoHyphens w:val="true"/>
              <w:spacing w:lineRule="auto" w:line="360" w:before="0" w:after="200"/>
              <w:jc w:val="right"/>
              <w:rPr>
                <w:rFonts w:ascii="arial" w:hAnsi="arial"/>
              </w:rPr>
            </w:pPr>
            <w:r>
              <w:rPr>
                <w:rFonts w:cs="Times New Roman" w:ascii="arial" w:hAnsi="arial"/>
                <w:kern w:val="0"/>
                <w:sz w:val="24"/>
                <w:szCs w:val="24"/>
                <w:lang w:eastAsia="en-US" w:bidi="ar-SA"/>
              </w:rPr>
              <w:t>11</w:t>
            </w:r>
          </w:p>
        </w:tc>
        <w:tc>
          <w:tcPr>
            <w:tcW w:w="1725"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Dr. P.F</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Bingilar</w:t>
            </w:r>
          </w:p>
        </w:tc>
        <w:tc>
          <w:tcPr>
            <w:tcW w:w="1458"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Senior</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Lecturer</w:t>
            </w:r>
          </w:p>
        </w:tc>
        <w:tc>
          <w:tcPr>
            <w:tcW w:w="2497" w:type="dxa"/>
            <w:tcBorders/>
          </w:tcPr>
          <w:p>
            <w:pPr>
              <w:pStyle w:val="Normal"/>
              <w:widowControl/>
              <w:suppressAutoHyphens w:val="true"/>
              <w:spacing w:lineRule="auto" w:line="240" w:before="0" w:after="200"/>
              <w:jc w:val="left"/>
              <w:rPr/>
            </w:pPr>
            <w:r>
              <w:rPr>
                <w:rFonts w:cs="Times New Roman" w:ascii="arial" w:hAnsi="arial"/>
                <w:kern w:val="0"/>
                <w:sz w:val="24"/>
                <w:szCs w:val="24"/>
                <w:lang w:eastAsia="en-US" w:bidi="ar-SA"/>
              </w:rPr>
              <w:t>B.A (Hons), M.A. PhD</w:t>
            </w:r>
          </w:p>
        </w:tc>
        <w:tc>
          <w:tcPr>
            <w:tcW w:w="2982"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Entrepreneurial Studies</w:t>
            </w:r>
          </w:p>
        </w:tc>
      </w:tr>
      <w:tr>
        <w:trPr/>
        <w:tc>
          <w:tcPr>
            <w:tcW w:w="619" w:type="dxa"/>
            <w:tcBorders/>
          </w:tcPr>
          <w:p>
            <w:pPr>
              <w:pStyle w:val="Normal"/>
              <w:widowControl/>
              <w:suppressAutoHyphens w:val="true"/>
              <w:spacing w:lineRule="auto" w:line="240" w:before="0" w:after="200"/>
              <w:jc w:val="right"/>
              <w:rPr>
                <w:rFonts w:ascii="arial" w:hAnsi="arial"/>
              </w:rPr>
            </w:pPr>
            <w:r>
              <w:rPr>
                <w:rFonts w:cs="Times New Roman" w:ascii="arial" w:hAnsi="arial"/>
                <w:kern w:val="0"/>
                <w:sz w:val="24"/>
                <w:szCs w:val="24"/>
                <w:lang w:eastAsia="en-US" w:bidi="ar-SA"/>
              </w:rPr>
              <w:t>12</w:t>
            </w:r>
          </w:p>
        </w:tc>
        <w:tc>
          <w:tcPr>
            <w:tcW w:w="1725" w:type="dxa"/>
            <w:tcBorders/>
          </w:tcPr>
          <w:p>
            <w:pPr>
              <w:pStyle w:val="Normal"/>
              <w:widowControl/>
              <w:suppressAutoHyphens w:val="true"/>
              <w:spacing w:lineRule="auto" w:line="240" w:before="0" w:after="200"/>
              <w:jc w:val="left"/>
              <w:rPr>
                <w:rFonts w:ascii="arial" w:hAnsi="arial"/>
              </w:rPr>
            </w:pPr>
            <w:r>
              <w:rPr>
                <w:rFonts w:cs="Times New Roman" w:ascii="arial" w:hAnsi="arial"/>
                <w:kern w:val="0"/>
                <w:sz w:val="24"/>
                <w:szCs w:val="24"/>
                <w:lang w:eastAsia="en-US" w:bidi="ar-SA"/>
              </w:rPr>
              <w:t>Dr. (Mrs) Grace Onyemachi Prezi</w:t>
            </w:r>
          </w:p>
        </w:tc>
        <w:tc>
          <w:tcPr>
            <w:tcW w:w="1458"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Senior</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Lecturer</w:t>
            </w:r>
          </w:p>
          <w:p>
            <w:pPr>
              <w:pStyle w:val="Normal"/>
              <w:widowControl/>
              <w:suppressAutoHyphens w:val="true"/>
              <w:spacing w:lineRule="auto" w:line="240" w:before="0" w:after="200"/>
              <w:jc w:val="both"/>
              <w:rPr>
                <w:rFonts w:cs="Times New Roman"/>
                <w:kern w:val="0"/>
                <w:sz w:val="24"/>
                <w:szCs w:val="24"/>
                <w:lang w:eastAsia="en-US" w:bidi="ar-SA"/>
              </w:rPr>
            </w:pPr>
            <w:r>
              <w:rPr>
                <w:rFonts w:cs="Times New Roman"/>
                <w:kern w:val="0"/>
                <w:sz w:val="24"/>
                <w:szCs w:val="24"/>
                <w:lang w:eastAsia="en-US" w:bidi="ar-SA"/>
              </w:rPr>
            </w:r>
          </w:p>
        </w:tc>
        <w:tc>
          <w:tcPr>
            <w:tcW w:w="2497"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B.A (Hons), PhD (2014),</w:t>
            </w:r>
          </w:p>
        </w:tc>
        <w:tc>
          <w:tcPr>
            <w:tcW w:w="2982"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Use of English</w:t>
            </w:r>
          </w:p>
        </w:tc>
      </w:tr>
      <w:tr>
        <w:trPr/>
        <w:tc>
          <w:tcPr>
            <w:tcW w:w="619" w:type="dxa"/>
            <w:tcBorders/>
          </w:tcPr>
          <w:p>
            <w:pPr>
              <w:pStyle w:val="Normal"/>
              <w:widowControl/>
              <w:suppressAutoHyphens w:val="true"/>
              <w:spacing w:lineRule="auto" w:line="360" w:before="0" w:after="200"/>
              <w:jc w:val="right"/>
              <w:rPr>
                <w:rFonts w:ascii="arial" w:hAnsi="arial"/>
              </w:rPr>
            </w:pPr>
            <w:r>
              <w:rPr>
                <w:rFonts w:cs="Times New Roman" w:ascii="arial" w:hAnsi="arial"/>
                <w:kern w:val="0"/>
                <w:sz w:val="24"/>
                <w:szCs w:val="24"/>
                <w:lang w:eastAsia="en-US" w:bidi="ar-SA"/>
              </w:rPr>
              <w:t>14</w:t>
            </w:r>
          </w:p>
        </w:tc>
        <w:tc>
          <w:tcPr>
            <w:tcW w:w="1725"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Bumiegha Samuel Aveke</w:t>
            </w:r>
          </w:p>
        </w:tc>
        <w:tc>
          <w:tcPr>
            <w:tcW w:w="1458"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Lecturer I</w:t>
            </w:r>
          </w:p>
        </w:tc>
        <w:tc>
          <w:tcPr>
            <w:tcW w:w="2497" w:type="dxa"/>
            <w:tcBorders/>
          </w:tcPr>
          <w:p>
            <w:pPr>
              <w:pStyle w:val="Normal"/>
              <w:widowControl/>
              <w:suppressAutoHyphens w:val="true"/>
              <w:spacing w:lineRule="auto" w:line="240" w:before="0" w:after="200"/>
              <w:jc w:val="left"/>
              <w:rPr>
                <w:rFonts w:ascii="arial" w:hAnsi="arial"/>
              </w:rPr>
            </w:pPr>
            <w:r>
              <w:rPr>
                <w:rFonts w:cs="Times New Roman" w:ascii="arial" w:hAnsi="arial"/>
                <w:kern w:val="0"/>
                <w:sz w:val="24"/>
                <w:szCs w:val="24"/>
                <w:lang w:eastAsia="en-US" w:bidi="ar-SA"/>
              </w:rPr>
              <w:t>B.A. (Hons.) Philosophy, University of Port Harcourt, 1999.</w:t>
            </w:r>
          </w:p>
          <w:p>
            <w:pPr>
              <w:pStyle w:val="Normal"/>
              <w:widowControl/>
              <w:suppressAutoHyphens w:val="true"/>
              <w:spacing w:lineRule="auto" w:line="240" w:before="0" w:after="200"/>
              <w:jc w:val="left"/>
              <w:rPr>
                <w:rFonts w:ascii="arial" w:hAnsi="arial"/>
              </w:rPr>
            </w:pPr>
            <w:r>
              <w:rPr>
                <w:rFonts w:cs="Times New Roman" w:ascii="arial" w:hAnsi="arial"/>
                <w:kern w:val="0"/>
                <w:sz w:val="24"/>
                <w:szCs w:val="24"/>
                <w:lang w:eastAsia="en-US" w:bidi="ar-SA"/>
              </w:rPr>
              <w:t xml:space="preserve"> </w:t>
            </w:r>
            <w:r>
              <w:rPr>
                <w:rFonts w:cs="Times New Roman" w:ascii="arial" w:hAnsi="arial"/>
                <w:kern w:val="0"/>
                <w:sz w:val="24"/>
                <w:szCs w:val="24"/>
                <w:lang w:eastAsia="en-US" w:bidi="ar-SA"/>
              </w:rPr>
              <w:t>LL.B. (Hons.) RSUST, 2004,</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M.A. in Philosophy, University of Port Harcourt, 2005.</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B.L. Nigerian Law School, 2006.</w:t>
            </w:r>
          </w:p>
        </w:tc>
        <w:tc>
          <w:tcPr>
            <w:tcW w:w="2982"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Analytic Philosophy, Logic, Epistemology and Philosophy of Law</w:t>
            </w:r>
          </w:p>
        </w:tc>
      </w:tr>
      <w:tr>
        <w:trPr/>
        <w:tc>
          <w:tcPr>
            <w:tcW w:w="619" w:type="dxa"/>
            <w:tcBorders/>
          </w:tcPr>
          <w:p>
            <w:pPr>
              <w:pStyle w:val="Normal"/>
              <w:widowControl/>
              <w:suppressAutoHyphens w:val="true"/>
              <w:spacing w:lineRule="auto" w:line="360" w:before="0" w:after="200"/>
              <w:jc w:val="right"/>
              <w:rPr>
                <w:rFonts w:ascii="arial" w:hAnsi="arial"/>
              </w:rPr>
            </w:pPr>
            <w:r>
              <w:rPr>
                <w:rFonts w:cs="Times New Roman" w:ascii="arial" w:hAnsi="arial"/>
                <w:kern w:val="0"/>
                <w:sz w:val="24"/>
                <w:szCs w:val="24"/>
                <w:lang w:eastAsia="en-US" w:bidi="ar-SA"/>
              </w:rPr>
              <w:t>15</w:t>
            </w:r>
          </w:p>
        </w:tc>
        <w:tc>
          <w:tcPr>
            <w:tcW w:w="1725"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Andabolo Ebimieowei Owutuamor</w:t>
            </w:r>
          </w:p>
        </w:tc>
        <w:tc>
          <w:tcPr>
            <w:tcW w:w="1458"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Lecturer I</w:t>
            </w:r>
          </w:p>
        </w:tc>
        <w:tc>
          <w:tcPr>
            <w:tcW w:w="2497" w:type="dxa"/>
            <w:tcBorders/>
          </w:tcPr>
          <w:p>
            <w:pPr>
              <w:pStyle w:val="Normal"/>
              <w:widowControl/>
              <w:suppressAutoHyphens w:val="true"/>
              <w:spacing w:lineRule="auto" w:line="240" w:before="0" w:after="200"/>
              <w:jc w:val="left"/>
              <w:rPr>
                <w:rFonts w:ascii="arial" w:hAnsi="arial"/>
              </w:rPr>
            </w:pPr>
            <w:r>
              <w:rPr>
                <w:rFonts w:cs="Times New Roman" w:ascii="arial" w:hAnsi="arial"/>
                <w:kern w:val="0"/>
                <w:sz w:val="24"/>
                <w:szCs w:val="24"/>
                <w:lang w:eastAsia="en-US" w:bidi="ar-SA"/>
              </w:rPr>
              <w:t>B.A. (Hons) Philosophy, University of PortHarcourt, 1988.</w:t>
            </w:r>
          </w:p>
          <w:p>
            <w:pPr>
              <w:pStyle w:val="Normal"/>
              <w:widowControl/>
              <w:suppressAutoHyphens w:val="true"/>
              <w:spacing w:lineRule="auto" w:line="240" w:before="0" w:after="200"/>
              <w:jc w:val="left"/>
              <w:rPr>
                <w:rFonts w:ascii="arial" w:hAnsi="arial"/>
              </w:rPr>
            </w:pPr>
            <w:r>
              <w:rPr>
                <w:rFonts w:cs="Times New Roman" w:ascii="arial" w:hAnsi="arial"/>
                <w:kern w:val="0"/>
                <w:sz w:val="24"/>
                <w:szCs w:val="24"/>
                <w:lang w:eastAsia="en-US" w:bidi="ar-SA"/>
              </w:rPr>
              <w:t>P.G.D.E. University of PortHarcourt 2002.</w:t>
            </w:r>
          </w:p>
          <w:p>
            <w:pPr>
              <w:pStyle w:val="Normal"/>
              <w:widowControl/>
              <w:suppressAutoHyphens w:val="true"/>
              <w:spacing w:lineRule="auto" w:line="240" w:before="0" w:after="200"/>
              <w:jc w:val="left"/>
              <w:rPr>
                <w:rFonts w:ascii="arial" w:hAnsi="arial"/>
              </w:rPr>
            </w:pPr>
            <w:r>
              <w:rPr>
                <w:rFonts w:cs="Times New Roman" w:ascii="arial" w:hAnsi="arial"/>
                <w:kern w:val="0"/>
                <w:sz w:val="24"/>
                <w:szCs w:val="24"/>
                <w:lang w:eastAsia="en-US" w:bidi="ar-SA"/>
              </w:rPr>
              <w:t>M.Ed. University of PortHarcourt 2005.</w:t>
            </w:r>
          </w:p>
          <w:p>
            <w:pPr>
              <w:pStyle w:val="Normal"/>
              <w:widowControl/>
              <w:suppressAutoHyphens w:val="true"/>
              <w:spacing w:lineRule="auto" w:line="240" w:before="0" w:after="200"/>
              <w:jc w:val="left"/>
              <w:rPr>
                <w:rFonts w:ascii="arial" w:hAnsi="arial"/>
              </w:rPr>
            </w:pPr>
            <w:r>
              <w:rPr>
                <w:rFonts w:cs="Times New Roman" w:ascii="arial" w:hAnsi="arial"/>
                <w:kern w:val="0"/>
                <w:sz w:val="24"/>
                <w:szCs w:val="24"/>
                <w:lang w:eastAsia="en-US" w:bidi="ar-SA"/>
              </w:rPr>
              <w:t>M.A. Philosophy, University of Port-Harcourt 2016</w:t>
            </w:r>
          </w:p>
        </w:tc>
        <w:tc>
          <w:tcPr>
            <w:tcW w:w="2982"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Social and Political Philosophy and Philosophy of Science</w:t>
            </w:r>
          </w:p>
        </w:tc>
      </w:tr>
      <w:tr>
        <w:trPr/>
        <w:tc>
          <w:tcPr>
            <w:tcW w:w="619" w:type="dxa"/>
            <w:tcBorders>
              <w:top w:val="nil"/>
            </w:tcBorders>
          </w:tcPr>
          <w:p>
            <w:pPr>
              <w:pStyle w:val="Normal"/>
              <w:widowControl/>
              <w:suppressAutoHyphens w:val="true"/>
              <w:spacing w:lineRule="auto" w:line="360" w:before="0" w:after="200"/>
              <w:jc w:val="right"/>
              <w:rPr>
                <w:rFonts w:ascii="arial" w:hAnsi="arial"/>
              </w:rPr>
            </w:pPr>
            <w:r>
              <w:rPr>
                <w:rFonts w:ascii="arial" w:hAnsi="arial"/>
              </w:rPr>
            </w:r>
          </w:p>
        </w:tc>
        <w:tc>
          <w:tcPr>
            <w:tcW w:w="1725" w:type="dxa"/>
            <w:tcBorders>
              <w:top w:val="nil"/>
            </w:tcBorders>
          </w:tcPr>
          <w:p>
            <w:pPr>
              <w:pStyle w:val="Normal"/>
              <w:widowControl/>
              <w:suppressAutoHyphens w:val="true"/>
              <w:spacing w:lineRule="auto" w:line="240" w:before="0" w:after="200"/>
              <w:jc w:val="left"/>
              <w:rPr>
                <w:rFonts w:ascii="arial" w:hAnsi="arial"/>
                <w:sz w:val="24"/>
                <w:szCs w:val="24"/>
              </w:rPr>
            </w:pPr>
            <w:r>
              <w:rPr>
                <w:rFonts w:ascii="arial" w:hAnsi="arial"/>
                <w:sz w:val="24"/>
                <w:szCs w:val="24"/>
              </w:rPr>
              <w:t>Justice Giredaguo Minabaimandin Ikiogha</w:t>
            </w:r>
          </w:p>
        </w:tc>
        <w:tc>
          <w:tcPr>
            <w:tcW w:w="1458" w:type="dxa"/>
            <w:tcBorders>
              <w:top w:val="nil"/>
            </w:tcBorders>
          </w:tcPr>
          <w:p>
            <w:pPr>
              <w:pStyle w:val="Normal"/>
              <w:widowControl/>
              <w:suppressAutoHyphens w:val="true"/>
              <w:spacing w:lineRule="auto" w:line="240" w:before="0" w:after="200"/>
              <w:jc w:val="both"/>
              <w:rPr>
                <w:rFonts w:ascii="arial" w:hAnsi="arial"/>
                <w:sz w:val="24"/>
                <w:szCs w:val="24"/>
              </w:rPr>
            </w:pPr>
            <w:r>
              <w:rPr>
                <w:rFonts w:ascii="arial" w:hAnsi="arial"/>
                <w:sz w:val="24"/>
                <w:szCs w:val="24"/>
              </w:rPr>
              <w:t>Assistant Lecturer</w:t>
            </w:r>
          </w:p>
        </w:tc>
        <w:tc>
          <w:tcPr>
            <w:tcW w:w="2497" w:type="dxa"/>
            <w:tcBorders>
              <w:top w:val="nil"/>
            </w:tcBorders>
          </w:tcPr>
          <w:p>
            <w:pPr>
              <w:pStyle w:val="Normal"/>
              <w:widowControl/>
              <w:suppressAutoHyphens w:val="true"/>
              <w:spacing w:lineRule="auto" w:line="240" w:before="0" w:after="200"/>
              <w:jc w:val="left"/>
              <w:rPr>
                <w:rFonts w:ascii="arial" w:hAnsi="arial"/>
                <w:sz w:val="24"/>
                <w:szCs w:val="24"/>
              </w:rPr>
            </w:pPr>
            <w:r>
              <w:rPr>
                <w:rFonts w:ascii="arial" w:hAnsi="arial"/>
                <w:sz w:val="24"/>
                <w:szCs w:val="24"/>
              </w:rPr>
              <w:t xml:space="preserve">B.A (Hons): </w:t>
            </w:r>
            <w:r>
              <w:rPr>
                <w:rFonts w:ascii="arial" w:hAnsi="arial"/>
                <w:sz w:val="24"/>
                <w:szCs w:val="24"/>
              </w:rPr>
              <w:t xml:space="preserve">NDU, </w:t>
            </w:r>
            <w:r>
              <w:rPr>
                <w:rFonts w:ascii="arial" w:hAnsi="arial"/>
                <w:sz w:val="24"/>
                <w:szCs w:val="24"/>
              </w:rPr>
              <w:t xml:space="preserve">M.A. in Epistemology, </w:t>
            </w:r>
            <w:r>
              <w:rPr>
                <w:rFonts w:ascii="arial" w:hAnsi="arial"/>
                <w:sz w:val="24"/>
                <w:szCs w:val="24"/>
              </w:rPr>
              <w:t>(UPH).</w:t>
            </w:r>
          </w:p>
        </w:tc>
        <w:tc>
          <w:tcPr>
            <w:tcW w:w="2982" w:type="dxa"/>
            <w:tcBorders>
              <w:top w:val="nil"/>
            </w:tcBorders>
          </w:tcPr>
          <w:p>
            <w:pPr>
              <w:pStyle w:val="Normal"/>
              <w:widowControl/>
              <w:suppressAutoHyphens w:val="true"/>
              <w:spacing w:lineRule="auto" w:line="240" w:before="0" w:after="200"/>
              <w:jc w:val="both"/>
              <w:rPr>
                <w:rFonts w:ascii="arial" w:hAnsi="arial"/>
                <w:sz w:val="24"/>
                <w:szCs w:val="24"/>
              </w:rPr>
            </w:pPr>
            <w:r>
              <w:rPr>
                <w:rFonts w:ascii="arial" w:hAnsi="arial"/>
                <w:sz w:val="24"/>
                <w:szCs w:val="24"/>
              </w:rPr>
              <w:t>Epistemology</w:t>
            </w:r>
          </w:p>
        </w:tc>
      </w:tr>
      <w:tr>
        <w:trPr/>
        <w:tc>
          <w:tcPr>
            <w:tcW w:w="619" w:type="dxa"/>
            <w:tcBorders>
              <w:top w:val="nil"/>
            </w:tcBorders>
          </w:tcPr>
          <w:p>
            <w:pPr>
              <w:pStyle w:val="Normal"/>
              <w:widowControl/>
              <w:suppressAutoHyphens w:val="true"/>
              <w:spacing w:lineRule="auto" w:line="360" w:before="0" w:after="200"/>
              <w:jc w:val="right"/>
              <w:rPr>
                <w:rFonts w:ascii="arial" w:hAnsi="arial"/>
              </w:rPr>
            </w:pPr>
            <w:r>
              <w:rPr>
                <w:rFonts w:ascii="arial" w:hAnsi="arial"/>
              </w:rPr>
            </w:r>
          </w:p>
        </w:tc>
        <w:tc>
          <w:tcPr>
            <w:tcW w:w="1725" w:type="dxa"/>
            <w:tcBorders>
              <w:top w:val="nil"/>
            </w:tcBorders>
          </w:tcPr>
          <w:p>
            <w:pPr>
              <w:pStyle w:val="Normal"/>
              <w:widowControl/>
              <w:suppressAutoHyphens w:val="true"/>
              <w:spacing w:lineRule="auto" w:line="240" w:before="0" w:after="200"/>
              <w:jc w:val="both"/>
              <w:rPr>
                <w:rFonts w:ascii="arial" w:hAnsi="arial"/>
                <w:sz w:val="24"/>
                <w:szCs w:val="24"/>
              </w:rPr>
            </w:pPr>
            <w:r>
              <w:rPr>
                <w:rFonts w:ascii="arial" w:hAnsi="arial"/>
                <w:sz w:val="24"/>
                <w:szCs w:val="24"/>
              </w:rPr>
              <w:t>Soalatiem Ibieneye</w:t>
            </w:r>
          </w:p>
        </w:tc>
        <w:tc>
          <w:tcPr>
            <w:tcW w:w="1458" w:type="dxa"/>
            <w:tcBorders>
              <w:top w:val="nil"/>
            </w:tcBorders>
          </w:tcPr>
          <w:p>
            <w:pPr>
              <w:pStyle w:val="Normal"/>
              <w:widowControl/>
              <w:suppressAutoHyphens w:val="true"/>
              <w:spacing w:lineRule="auto" w:line="240" w:before="0" w:after="200"/>
              <w:jc w:val="both"/>
              <w:rPr>
                <w:rFonts w:ascii="arial" w:hAnsi="arial" w:cs="Times New Roman"/>
                <w:kern w:val="0"/>
                <w:sz w:val="24"/>
                <w:szCs w:val="24"/>
                <w:lang w:eastAsia="en-US" w:bidi="ar-SA"/>
              </w:rPr>
            </w:pPr>
            <w:r>
              <w:rPr>
                <w:rFonts w:cs="Times New Roman" w:ascii="arial" w:hAnsi="arial"/>
                <w:kern w:val="0"/>
                <w:sz w:val="24"/>
                <w:szCs w:val="24"/>
                <w:lang w:eastAsia="en-US" w:bidi="ar-SA"/>
              </w:rPr>
              <w:t>Assistant Lecturer</w:t>
            </w:r>
          </w:p>
        </w:tc>
        <w:tc>
          <w:tcPr>
            <w:tcW w:w="2497" w:type="dxa"/>
            <w:tcBorders>
              <w:top w:val="nil"/>
            </w:tcBorders>
          </w:tcPr>
          <w:p>
            <w:pPr>
              <w:pStyle w:val="Normal"/>
              <w:widowControl/>
              <w:suppressAutoHyphens w:val="true"/>
              <w:spacing w:lineRule="auto" w:line="240" w:before="0" w:after="200"/>
              <w:jc w:val="left"/>
              <w:rPr>
                <w:sz w:val="24"/>
                <w:szCs w:val="24"/>
              </w:rPr>
            </w:pPr>
            <w:r>
              <w:rPr>
                <w:rFonts w:cs="Times New Roman" w:ascii="arial" w:hAnsi="arial"/>
                <w:kern w:val="0"/>
                <w:sz w:val="24"/>
                <w:szCs w:val="24"/>
                <w:lang w:eastAsia="en-US" w:bidi="ar-SA"/>
              </w:rPr>
              <w:t>B.A. (Hons),</w:t>
            </w:r>
            <w:r>
              <w:rPr>
                <w:rFonts w:cs="Times New Roman" w:ascii="arial" w:hAnsi="arial"/>
                <w:kern w:val="0"/>
                <w:sz w:val="24"/>
                <w:szCs w:val="24"/>
                <w:lang w:eastAsia="en-US" w:bidi="ar-SA"/>
              </w:rPr>
              <w:t xml:space="preserve"> Philosophy</w:t>
            </w:r>
            <w:r>
              <w:rPr>
                <w:rFonts w:cs="Times New Roman" w:ascii="arial" w:hAnsi="arial"/>
                <w:kern w:val="0"/>
                <w:sz w:val="24"/>
                <w:szCs w:val="24"/>
                <w:lang w:eastAsia="en-US" w:bidi="ar-SA"/>
              </w:rPr>
              <w:t xml:space="preserve"> </w:t>
            </w:r>
            <w:r>
              <w:rPr>
                <w:rFonts w:cs="Times New Roman" w:ascii="arial" w:hAnsi="arial"/>
                <w:kern w:val="0"/>
                <w:sz w:val="24"/>
                <w:szCs w:val="24"/>
                <w:lang w:eastAsia="en-US" w:bidi="ar-SA"/>
              </w:rPr>
              <w:t>(NDU)</w:t>
            </w:r>
            <w:r>
              <w:rPr>
                <w:rFonts w:cs="Times New Roman" w:ascii="arial" w:hAnsi="arial"/>
                <w:kern w:val="0"/>
                <w:sz w:val="24"/>
                <w:szCs w:val="24"/>
                <w:lang w:eastAsia="en-US" w:bidi="ar-SA"/>
              </w:rPr>
              <w:t xml:space="preserve">, M.A, </w:t>
            </w:r>
            <w:r>
              <w:rPr>
                <w:rFonts w:cs="Times New Roman" w:ascii="arial" w:hAnsi="arial"/>
                <w:kern w:val="0"/>
                <w:sz w:val="24"/>
                <w:szCs w:val="24"/>
                <w:lang w:eastAsia="en-US" w:bidi="ar-SA"/>
              </w:rPr>
              <w:t>Philosophy of Law</w:t>
            </w:r>
            <w:r>
              <w:rPr>
                <w:rFonts w:cs="Times New Roman" w:ascii="arial" w:hAnsi="arial"/>
                <w:kern w:val="0"/>
                <w:sz w:val="24"/>
                <w:szCs w:val="24"/>
                <w:lang w:eastAsia="en-US" w:bidi="ar-SA"/>
              </w:rPr>
              <w:t xml:space="preserve"> </w:t>
            </w:r>
            <w:r>
              <w:rPr>
                <w:rFonts w:cs="Times New Roman" w:ascii="arial" w:hAnsi="arial"/>
                <w:kern w:val="0"/>
                <w:sz w:val="24"/>
                <w:szCs w:val="24"/>
                <w:lang w:eastAsia="en-US" w:bidi="ar-SA"/>
              </w:rPr>
              <w:t>(UPH).</w:t>
            </w:r>
          </w:p>
        </w:tc>
        <w:tc>
          <w:tcPr>
            <w:tcW w:w="2982" w:type="dxa"/>
            <w:tcBorders>
              <w:top w:val="nil"/>
            </w:tcBorders>
          </w:tcPr>
          <w:p>
            <w:pPr>
              <w:pStyle w:val="Normal"/>
              <w:widowControl/>
              <w:suppressAutoHyphens w:val="true"/>
              <w:spacing w:lineRule="auto" w:line="240" w:before="0" w:after="200"/>
              <w:jc w:val="both"/>
              <w:rPr>
                <w:rFonts w:ascii="arial" w:hAnsi="arial"/>
                <w:sz w:val="24"/>
                <w:szCs w:val="24"/>
              </w:rPr>
            </w:pPr>
            <w:r>
              <w:rPr>
                <w:rFonts w:ascii="arial" w:hAnsi="arial"/>
                <w:sz w:val="24"/>
                <w:szCs w:val="24"/>
              </w:rPr>
              <w:t>Social and Political Philosophy</w:t>
            </w:r>
          </w:p>
        </w:tc>
      </w:tr>
      <w:tr>
        <w:trPr/>
        <w:tc>
          <w:tcPr>
            <w:tcW w:w="619" w:type="dxa"/>
            <w:tcBorders>
              <w:top w:val="nil"/>
            </w:tcBorders>
          </w:tcPr>
          <w:p>
            <w:pPr>
              <w:pStyle w:val="Normal"/>
              <w:widowControl/>
              <w:suppressAutoHyphens w:val="true"/>
              <w:spacing w:lineRule="auto" w:line="360" w:before="0" w:after="200"/>
              <w:jc w:val="right"/>
              <w:rPr>
                <w:rFonts w:ascii="arial" w:hAnsi="arial"/>
              </w:rPr>
            </w:pPr>
            <w:r>
              <w:rPr>
                <w:rFonts w:ascii="arial" w:hAnsi="arial"/>
              </w:rPr>
            </w:r>
          </w:p>
        </w:tc>
        <w:tc>
          <w:tcPr>
            <w:tcW w:w="1725" w:type="dxa"/>
            <w:tcBorders>
              <w:top w:val="nil"/>
            </w:tcBorders>
          </w:tcPr>
          <w:p>
            <w:pPr>
              <w:pStyle w:val="Normal"/>
              <w:widowControl/>
              <w:suppressAutoHyphens w:val="true"/>
              <w:spacing w:lineRule="auto" w:line="240" w:before="0" w:after="200"/>
              <w:jc w:val="both"/>
              <w:rPr>
                <w:sz w:val="24"/>
                <w:szCs w:val="24"/>
              </w:rPr>
            </w:pPr>
            <w:r>
              <w:rPr>
                <w:rFonts w:cs="Times New Roman" w:ascii="arial" w:hAnsi="arial"/>
                <w:kern w:val="0"/>
                <w:sz w:val="24"/>
                <w:szCs w:val="24"/>
                <w:lang w:eastAsia="en-US" w:bidi="ar-SA"/>
              </w:rPr>
              <w:t>Idubamo Daniel Agbada</w:t>
            </w:r>
          </w:p>
        </w:tc>
        <w:tc>
          <w:tcPr>
            <w:tcW w:w="1458" w:type="dxa"/>
            <w:tcBorders>
              <w:top w:val="nil"/>
            </w:tcBorders>
          </w:tcPr>
          <w:p>
            <w:pPr>
              <w:pStyle w:val="Normal"/>
              <w:widowControl/>
              <w:suppressAutoHyphens w:val="true"/>
              <w:spacing w:lineRule="auto" w:line="240" w:before="0" w:after="200"/>
              <w:jc w:val="both"/>
              <w:rPr>
                <w:rFonts w:ascii="arial" w:hAnsi="arial" w:cs="Times New Roman"/>
                <w:kern w:val="0"/>
                <w:sz w:val="24"/>
                <w:szCs w:val="24"/>
                <w:lang w:eastAsia="en-US" w:bidi="ar-SA"/>
              </w:rPr>
            </w:pPr>
            <w:r>
              <w:rPr>
                <w:rFonts w:cs="Times New Roman" w:ascii="arial" w:hAnsi="arial"/>
                <w:kern w:val="0"/>
                <w:sz w:val="24"/>
                <w:szCs w:val="24"/>
                <w:lang w:eastAsia="en-US" w:bidi="ar-SA"/>
              </w:rPr>
              <w:t>Assistant Lecturer</w:t>
            </w:r>
          </w:p>
        </w:tc>
        <w:tc>
          <w:tcPr>
            <w:tcW w:w="2497" w:type="dxa"/>
            <w:tcBorders>
              <w:top w:val="nil"/>
            </w:tcBorders>
          </w:tcPr>
          <w:p>
            <w:pPr>
              <w:pStyle w:val="Normal"/>
              <w:widowControl/>
              <w:suppressAutoHyphens w:val="true"/>
              <w:spacing w:lineRule="auto" w:line="240" w:before="0" w:after="200"/>
              <w:jc w:val="left"/>
              <w:rPr>
                <w:sz w:val="24"/>
                <w:szCs w:val="24"/>
              </w:rPr>
            </w:pPr>
            <w:r>
              <w:rPr>
                <w:rFonts w:cs="Times New Roman" w:ascii="arial" w:hAnsi="arial"/>
                <w:kern w:val="0"/>
                <w:sz w:val="24"/>
                <w:szCs w:val="24"/>
                <w:lang w:eastAsia="en-US" w:bidi="ar-SA"/>
              </w:rPr>
              <w:t>B.A. (Hons),</w:t>
            </w:r>
            <w:r>
              <w:rPr>
                <w:rFonts w:cs="Times New Roman" w:ascii="arial" w:hAnsi="arial"/>
                <w:kern w:val="0"/>
                <w:sz w:val="24"/>
                <w:szCs w:val="24"/>
                <w:lang w:eastAsia="en-US" w:bidi="ar-SA"/>
              </w:rPr>
              <w:t xml:space="preserve"> Philosophy</w:t>
            </w:r>
            <w:r>
              <w:rPr>
                <w:rFonts w:cs="Times New Roman" w:ascii="arial" w:hAnsi="arial"/>
                <w:kern w:val="0"/>
                <w:sz w:val="24"/>
                <w:szCs w:val="24"/>
                <w:lang w:eastAsia="en-US" w:bidi="ar-SA"/>
              </w:rPr>
              <w:t xml:space="preserve"> </w:t>
            </w:r>
            <w:r>
              <w:rPr>
                <w:rFonts w:cs="Times New Roman" w:ascii="arial" w:hAnsi="arial"/>
                <w:kern w:val="0"/>
                <w:sz w:val="24"/>
                <w:szCs w:val="24"/>
                <w:lang w:eastAsia="en-US" w:bidi="ar-SA"/>
              </w:rPr>
              <w:t>(NDU)</w:t>
            </w:r>
            <w:r>
              <w:rPr>
                <w:rFonts w:cs="Times New Roman" w:ascii="arial" w:hAnsi="arial"/>
                <w:kern w:val="0"/>
                <w:sz w:val="24"/>
                <w:szCs w:val="24"/>
                <w:lang w:eastAsia="en-US" w:bidi="ar-SA"/>
              </w:rPr>
              <w:t xml:space="preserve">, M.A </w:t>
            </w:r>
            <w:r>
              <w:rPr>
                <w:rFonts w:cs="Times New Roman" w:ascii="arial" w:hAnsi="arial"/>
                <w:kern w:val="0"/>
                <w:sz w:val="24"/>
                <w:szCs w:val="24"/>
                <w:lang w:eastAsia="en-US" w:bidi="ar-SA"/>
              </w:rPr>
              <w:t>(Ibadan)</w:t>
            </w:r>
          </w:p>
        </w:tc>
        <w:tc>
          <w:tcPr>
            <w:tcW w:w="2982" w:type="dxa"/>
            <w:tcBorders>
              <w:top w:val="nil"/>
            </w:tcBorders>
          </w:tcPr>
          <w:p>
            <w:pPr>
              <w:pStyle w:val="Normal"/>
              <w:widowControl/>
              <w:suppressAutoHyphens w:val="true"/>
              <w:spacing w:lineRule="auto" w:line="240" w:before="0" w:after="200"/>
              <w:jc w:val="both"/>
              <w:rPr>
                <w:sz w:val="24"/>
                <w:szCs w:val="24"/>
              </w:rPr>
            </w:pPr>
            <w:r>
              <w:rPr>
                <w:rFonts w:cs="Times New Roman" w:ascii="arial" w:hAnsi="arial"/>
                <w:kern w:val="0"/>
                <w:sz w:val="24"/>
                <w:szCs w:val="24"/>
                <w:lang w:eastAsia="en-US" w:bidi="ar-SA"/>
              </w:rPr>
              <w:t>Logic, Philosophy of Law, and Social and Political Philosophy</w:t>
            </w:r>
          </w:p>
        </w:tc>
      </w:tr>
      <w:tr>
        <w:trPr/>
        <w:tc>
          <w:tcPr>
            <w:tcW w:w="619" w:type="dxa"/>
            <w:tcBorders>
              <w:top w:val="nil"/>
            </w:tcBorders>
          </w:tcPr>
          <w:p>
            <w:pPr>
              <w:pStyle w:val="Normal"/>
              <w:widowControl/>
              <w:suppressAutoHyphens w:val="true"/>
              <w:spacing w:lineRule="auto" w:line="360" w:before="0" w:after="200"/>
              <w:jc w:val="right"/>
              <w:rPr>
                <w:rFonts w:ascii="arial" w:hAnsi="arial"/>
                <w:sz w:val="24"/>
                <w:szCs w:val="24"/>
              </w:rPr>
            </w:pPr>
            <w:r>
              <w:rPr>
                <w:rFonts w:ascii="arial" w:hAnsi="arial"/>
                <w:sz w:val="24"/>
                <w:szCs w:val="24"/>
              </w:rPr>
            </w:r>
          </w:p>
        </w:tc>
        <w:tc>
          <w:tcPr>
            <w:tcW w:w="1725" w:type="dxa"/>
            <w:tcBorders>
              <w:top w:val="nil"/>
            </w:tcBorders>
          </w:tcPr>
          <w:p>
            <w:pPr>
              <w:pStyle w:val="Normal"/>
              <w:widowControl/>
              <w:suppressAutoHyphens w:val="true"/>
              <w:spacing w:lineRule="auto" w:line="240" w:before="0" w:after="200"/>
              <w:jc w:val="both"/>
              <w:rPr>
                <w:rFonts w:ascii="arial" w:hAnsi="arial"/>
                <w:sz w:val="24"/>
                <w:szCs w:val="24"/>
              </w:rPr>
            </w:pPr>
            <w:r>
              <w:rPr>
                <w:rFonts w:ascii="arial" w:hAnsi="arial"/>
                <w:sz w:val="24"/>
                <w:szCs w:val="24"/>
              </w:rPr>
              <w:t xml:space="preserve">Ebikibina Joseph Sese </w:t>
            </w:r>
          </w:p>
        </w:tc>
        <w:tc>
          <w:tcPr>
            <w:tcW w:w="1458" w:type="dxa"/>
            <w:tcBorders>
              <w:top w:val="nil"/>
            </w:tcBorders>
          </w:tcPr>
          <w:p>
            <w:pPr>
              <w:pStyle w:val="Normal"/>
              <w:widowControl/>
              <w:suppressAutoHyphens w:val="true"/>
              <w:spacing w:lineRule="auto" w:line="240" w:before="0" w:after="200"/>
              <w:jc w:val="both"/>
              <w:rPr>
                <w:rFonts w:ascii="arial" w:hAnsi="arial" w:cs="Times New Roman"/>
                <w:kern w:val="0"/>
                <w:sz w:val="24"/>
                <w:szCs w:val="24"/>
                <w:lang w:eastAsia="en-US" w:bidi="ar-SA"/>
              </w:rPr>
            </w:pPr>
            <w:r>
              <w:rPr>
                <w:rFonts w:cs="Times New Roman" w:ascii="arial" w:hAnsi="arial"/>
                <w:kern w:val="0"/>
                <w:sz w:val="24"/>
                <w:szCs w:val="24"/>
                <w:lang w:eastAsia="en-US" w:bidi="ar-SA"/>
              </w:rPr>
              <w:t>Assistant Lecturer</w:t>
            </w:r>
          </w:p>
        </w:tc>
        <w:tc>
          <w:tcPr>
            <w:tcW w:w="2497" w:type="dxa"/>
            <w:tcBorders>
              <w:top w:val="nil"/>
            </w:tcBorders>
          </w:tcPr>
          <w:p>
            <w:pPr>
              <w:pStyle w:val="Normal"/>
              <w:widowControl/>
              <w:suppressAutoHyphens w:val="true"/>
              <w:spacing w:lineRule="auto" w:line="240" w:before="0" w:after="200"/>
              <w:jc w:val="left"/>
              <w:rPr>
                <w:rFonts w:ascii="arial" w:hAnsi="arial"/>
                <w:sz w:val="24"/>
                <w:szCs w:val="24"/>
              </w:rPr>
            </w:pPr>
            <w:r>
              <w:rPr>
                <w:rFonts w:ascii="arial" w:hAnsi="arial"/>
                <w:sz w:val="24"/>
                <w:szCs w:val="24"/>
              </w:rPr>
              <w:t>B.A. (Hons) Philosoph</w:t>
            </w:r>
            <w:r>
              <w:rPr>
                <w:rFonts w:ascii="arial" w:hAnsi="arial"/>
                <w:sz w:val="24"/>
                <w:szCs w:val="24"/>
              </w:rPr>
              <w:t>y</w:t>
            </w:r>
            <w:r>
              <w:rPr>
                <w:rFonts w:ascii="arial" w:hAnsi="arial"/>
                <w:sz w:val="24"/>
                <w:szCs w:val="24"/>
              </w:rPr>
              <w:t xml:space="preserve"> </w:t>
            </w:r>
            <w:r>
              <w:rPr>
                <w:rFonts w:ascii="arial" w:hAnsi="arial"/>
                <w:sz w:val="24"/>
                <w:szCs w:val="24"/>
              </w:rPr>
              <w:t>(NDU), M.A. in Metaphysics, Nnamdi Azikiwe University</w:t>
            </w:r>
          </w:p>
        </w:tc>
        <w:tc>
          <w:tcPr>
            <w:tcW w:w="2982" w:type="dxa"/>
            <w:tcBorders>
              <w:top w:val="nil"/>
            </w:tcBorders>
          </w:tcPr>
          <w:p>
            <w:pPr>
              <w:pStyle w:val="Normal"/>
              <w:widowControl/>
              <w:suppressAutoHyphens w:val="true"/>
              <w:spacing w:lineRule="auto" w:line="240" w:before="0" w:after="200"/>
              <w:jc w:val="both"/>
              <w:rPr>
                <w:rFonts w:ascii="arial" w:hAnsi="arial"/>
                <w:sz w:val="24"/>
                <w:szCs w:val="24"/>
              </w:rPr>
            </w:pPr>
            <w:r>
              <w:rPr>
                <w:rFonts w:ascii="arial" w:hAnsi="arial"/>
                <w:sz w:val="24"/>
                <w:szCs w:val="24"/>
              </w:rPr>
              <w:t>Metaphysics</w:t>
            </w:r>
          </w:p>
        </w:tc>
      </w:tr>
      <w:tr>
        <w:trPr/>
        <w:tc>
          <w:tcPr>
            <w:tcW w:w="619" w:type="dxa"/>
            <w:tcBorders>
              <w:top w:val="nil"/>
            </w:tcBorders>
          </w:tcPr>
          <w:p>
            <w:pPr>
              <w:pStyle w:val="Normal"/>
              <w:widowControl/>
              <w:suppressAutoHyphens w:val="true"/>
              <w:spacing w:lineRule="auto" w:line="360" w:before="0" w:after="200"/>
              <w:jc w:val="right"/>
              <w:rPr>
                <w:rFonts w:ascii="arial" w:hAnsi="arial"/>
                <w:sz w:val="24"/>
                <w:szCs w:val="24"/>
              </w:rPr>
            </w:pPr>
            <w:r>
              <w:rPr>
                <w:rFonts w:ascii="arial" w:hAnsi="arial"/>
                <w:sz w:val="24"/>
                <w:szCs w:val="24"/>
              </w:rPr>
            </w:r>
          </w:p>
        </w:tc>
        <w:tc>
          <w:tcPr>
            <w:tcW w:w="1725" w:type="dxa"/>
            <w:tcBorders>
              <w:top w:val="nil"/>
            </w:tcBorders>
          </w:tcPr>
          <w:p>
            <w:pPr>
              <w:pStyle w:val="Normal"/>
              <w:widowControl/>
              <w:suppressAutoHyphens w:val="true"/>
              <w:spacing w:lineRule="auto" w:line="240" w:before="0" w:after="200"/>
              <w:jc w:val="both"/>
              <w:rPr>
                <w:rFonts w:ascii="arial" w:hAnsi="arial"/>
                <w:sz w:val="24"/>
                <w:szCs w:val="24"/>
              </w:rPr>
            </w:pPr>
            <w:r>
              <w:rPr>
                <w:rFonts w:ascii="arial" w:hAnsi="arial"/>
                <w:sz w:val="24"/>
                <w:szCs w:val="24"/>
              </w:rPr>
              <w:t>Dr. Abraham Apereseimokomo Alfred</w:t>
            </w:r>
          </w:p>
        </w:tc>
        <w:tc>
          <w:tcPr>
            <w:tcW w:w="1458" w:type="dxa"/>
            <w:tcBorders>
              <w:top w:val="nil"/>
            </w:tcBorders>
          </w:tcPr>
          <w:p>
            <w:pPr>
              <w:pStyle w:val="Normal"/>
              <w:widowControl/>
              <w:suppressAutoHyphens w:val="true"/>
              <w:spacing w:lineRule="auto" w:line="240" w:before="0" w:after="200"/>
              <w:jc w:val="both"/>
              <w:rPr>
                <w:rFonts w:ascii="arial" w:hAnsi="arial" w:cs="Times New Roman"/>
                <w:kern w:val="0"/>
                <w:sz w:val="24"/>
                <w:szCs w:val="24"/>
                <w:lang w:eastAsia="en-US" w:bidi="ar-SA"/>
              </w:rPr>
            </w:pPr>
            <w:r>
              <w:rPr>
                <w:rFonts w:cs="Times New Roman" w:ascii="arial" w:hAnsi="arial"/>
                <w:kern w:val="0"/>
                <w:sz w:val="24"/>
                <w:szCs w:val="24"/>
                <w:lang w:eastAsia="en-US" w:bidi="ar-SA"/>
              </w:rPr>
            </w:r>
          </w:p>
        </w:tc>
        <w:tc>
          <w:tcPr>
            <w:tcW w:w="2497" w:type="dxa"/>
            <w:tcBorders>
              <w:top w:val="nil"/>
            </w:tcBorders>
          </w:tcPr>
          <w:p>
            <w:pPr>
              <w:pStyle w:val="Normal"/>
              <w:widowControl/>
              <w:suppressAutoHyphens w:val="true"/>
              <w:spacing w:lineRule="auto" w:line="240" w:before="0" w:after="200"/>
              <w:jc w:val="left"/>
              <w:rPr>
                <w:rFonts w:ascii="arial" w:hAnsi="arial"/>
                <w:sz w:val="24"/>
                <w:szCs w:val="24"/>
              </w:rPr>
            </w:pPr>
            <w:r>
              <w:rPr>
                <w:rFonts w:ascii="arial" w:hAnsi="arial"/>
                <w:sz w:val="24"/>
                <w:szCs w:val="24"/>
              </w:rPr>
              <w:t xml:space="preserve">BA (Hons) Philosophy, MA Metaphysics, Phenomenology and Applied Ontology, PhD, Philosophical Jurisprudence ( Philosophy of Law), </w:t>
            </w:r>
            <w:r>
              <w:rPr>
                <w:rFonts w:ascii="arial" w:hAnsi="arial"/>
                <w:sz w:val="24"/>
                <w:szCs w:val="24"/>
              </w:rPr>
              <w:t>Lagos,</w:t>
            </w:r>
          </w:p>
        </w:tc>
        <w:tc>
          <w:tcPr>
            <w:tcW w:w="2982" w:type="dxa"/>
            <w:tcBorders>
              <w:top w:val="nil"/>
            </w:tcBorders>
          </w:tcPr>
          <w:p>
            <w:pPr>
              <w:pStyle w:val="Normal"/>
              <w:widowControl/>
              <w:suppressAutoHyphens w:val="true"/>
              <w:spacing w:lineRule="auto" w:line="240" w:before="0" w:after="200"/>
              <w:jc w:val="both"/>
              <w:rPr>
                <w:rFonts w:ascii="arial" w:hAnsi="arial"/>
                <w:sz w:val="24"/>
                <w:szCs w:val="24"/>
              </w:rPr>
            </w:pPr>
            <w:r>
              <w:rPr>
                <w:rFonts w:ascii="arial" w:hAnsi="arial"/>
                <w:sz w:val="24"/>
                <w:szCs w:val="24"/>
              </w:rPr>
              <w:t>Metaphysics, Phenomenology, Existentialism, Applied Ontology, Philosophy of Law and Epistemology</w:t>
            </w:r>
          </w:p>
        </w:tc>
      </w:tr>
      <w:tr>
        <w:trPr/>
        <w:tc>
          <w:tcPr>
            <w:tcW w:w="619" w:type="dxa"/>
            <w:tcBorders/>
          </w:tcPr>
          <w:p>
            <w:pPr>
              <w:pStyle w:val="Normal"/>
              <w:widowControl/>
              <w:suppressAutoHyphens w:val="true"/>
              <w:spacing w:lineRule="auto" w:line="360" w:before="0" w:after="200"/>
              <w:jc w:val="right"/>
              <w:rPr>
                <w:rFonts w:ascii="arial" w:hAnsi="arial"/>
              </w:rPr>
            </w:pPr>
            <w:r>
              <w:rPr>
                <w:rFonts w:cs="Times New Roman" w:ascii="arial" w:hAnsi="arial"/>
                <w:kern w:val="0"/>
                <w:sz w:val="24"/>
                <w:szCs w:val="24"/>
                <w:lang w:eastAsia="en-US" w:bidi="ar-SA"/>
              </w:rPr>
              <w:t>16</w:t>
            </w:r>
          </w:p>
        </w:tc>
        <w:tc>
          <w:tcPr>
            <w:tcW w:w="1725"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Preye. L. A</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Torru</w:t>
            </w:r>
          </w:p>
        </w:tc>
        <w:tc>
          <w:tcPr>
            <w:tcW w:w="1458"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Lecturer 1</w:t>
            </w:r>
          </w:p>
        </w:tc>
        <w:tc>
          <w:tcPr>
            <w:tcW w:w="2497"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B.A (Hons), M.A</w:t>
            </w:r>
          </w:p>
        </w:tc>
        <w:tc>
          <w:tcPr>
            <w:tcW w:w="2982"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Economic History</w:t>
            </w:r>
          </w:p>
        </w:tc>
      </w:tr>
      <w:tr>
        <w:trPr/>
        <w:tc>
          <w:tcPr>
            <w:tcW w:w="619" w:type="dxa"/>
            <w:tcBorders/>
          </w:tcPr>
          <w:p>
            <w:pPr>
              <w:pStyle w:val="Normal"/>
              <w:widowControl/>
              <w:suppressAutoHyphens w:val="true"/>
              <w:spacing w:lineRule="auto" w:line="360" w:before="0" w:after="200"/>
              <w:jc w:val="right"/>
              <w:rPr>
                <w:rFonts w:ascii="arial" w:hAnsi="arial"/>
              </w:rPr>
            </w:pPr>
            <w:r>
              <w:rPr>
                <w:rFonts w:cs="Times New Roman" w:ascii="arial" w:hAnsi="arial"/>
                <w:kern w:val="0"/>
                <w:sz w:val="24"/>
                <w:szCs w:val="24"/>
                <w:lang w:eastAsia="en-US" w:bidi="ar-SA"/>
              </w:rPr>
              <w:t>18</w:t>
            </w:r>
          </w:p>
        </w:tc>
        <w:tc>
          <w:tcPr>
            <w:tcW w:w="1725"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Daniel</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Kemebraikumo</w:t>
            </w:r>
          </w:p>
        </w:tc>
        <w:tc>
          <w:tcPr>
            <w:tcW w:w="1458"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Lecturer</w:t>
            </w:r>
          </w:p>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11</w:t>
            </w:r>
          </w:p>
        </w:tc>
        <w:tc>
          <w:tcPr>
            <w:tcW w:w="2497"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B.A (Hons), MSc</w:t>
            </w:r>
          </w:p>
        </w:tc>
        <w:tc>
          <w:tcPr>
            <w:tcW w:w="2982" w:type="dxa"/>
            <w:tcBorders/>
          </w:tcPr>
          <w:p>
            <w:pPr>
              <w:pStyle w:val="Normal"/>
              <w:widowControl/>
              <w:suppressAutoHyphens w:val="true"/>
              <w:spacing w:lineRule="auto" w:line="240" w:before="0" w:after="200"/>
              <w:jc w:val="both"/>
              <w:rPr>
                <w:rFonts w:ascii="arial" w:hAnsi="arial"/>
              </w:rPr>
            </w:pPr>
            <w:r>
              <w:rPr>
                <w:rFonts w:cs="Times New Roman" w:ascii="arial" w:hAnsi="arial"/>
                <w:kern w:val="0"/>
                <w:sz w:val="24"/>
                <w:szCs w:val="24"/>
                <w:lang w:eastAsia="en-US" w:bidi="ar-SA"/>
              </w:rPr>
              <w:t>Nigerian History 1800-1960</w:t>
            </w:r>
            <w:bookmarkStart w:id="0" w:name="_GoBack"/>
            <w:bookmarkEnd w:id="0"/>
          </w:p>
        </w:tc>
      </w:tr>
    </w:tbl>
    <w:p>
      <w:pPr>
        <w:pStyle w:val="Normal"/>
        <w:spacing w:lineRule="auto" w:line="360"/>
        <w:rPr>
          <w:rFonts w:ascii="arial" w:hAnsi="arial" w:cs="Times New Roman"/>
          <w:b/>
          <w:sz w:val="24"/>
          <w:szCs w:val="24"/>
        </w:rPr>
      </w:pPr>
      <w:r>
        <w:rPr>
          <w:rFonts w:cs="Times New Roman" w:ascii="arial" w:hAnsi="arial"/>
          <w:b/>
          <w:sz w:val="24"/>
          <w:szCs w:val="24"/>
        </w:rPr>
      </w:r>
    </w:p>
    <w:p>
      <w:pPr>
        <w:pStyle w:val="Normal"/>
        <w:spacing w:lineRule="auto" w:line="360"/>
        <w:jc w:val="both"/>
        <w:rPr>
          <w:rFonts w:ascii="arial" w:hAnsi="arial"/>
        </w:rPr>
      </w:pPr>
      <w:r>
        <w:rPr>
          <w:rFonts w:ascii="arial" w:hAnsi="arial"/>
        </w:rPr>
      </w:r>
    </w:p>
    <w:p>
      <w:pPr>
        <w:pStyle w:val="Normal"/>
        <w:spacing w:lineRule="auto" w:line="360"/>
        <w:jc w:val="both"/>
        <w:rPr>
          <w:rFonts w:ascii="arial" w:hAnsi="arial"/>
        </w:rPr>
      </w:pPr>
      <w:r>
        <w:rPr>
          <w:rFonts w:ascii="arial" w:hAnsi="arial"/>
        </w:rPr>
      </w:r>
    </w:p>
    <w:p>
      <w:pPr>
        <w:pStyle w:val="Normal"/>
        <w:spacing w:lineRule="auto" w:line="360"/>
        <w:jc w:val="both"/>
        <w:rPr>
          <w:rFonts w:ascii="arial" w:hAnsi="arial"/>
        </w:rPr>
      </w:pPr>
      <w:r>
        <w:rPr>
          <w:rFonts w:cs="Times New Roman" w:ascii="arial" w:hAnsi="arial"/>
          <w:b/>
          <w:sz w:val="24"/>
          <w:szCs w:val="24"/>
        </w:rPr>
      </w:r>
    </w:p>
    <w:p>
      <w:pPr>
        <w:pStyle w:val="Normal"/>
        <w:spacing w:lineRule="auto" w:line="360"/>
        <w:jc w:val="both"/>
        <w:rPr>
          <w:rFonts w:ascii="arial" w:hAnsi="arial"/>
        </w:rPr>
      </w:pPr>
      <w:r>
        <w:rPr>
          <w:rFonts w:cs="Times New Roman" w:ascii="arial" w:hAnsi="arial"/>
          <w:b/>
          <w:sz w:val="24"/>
          <w:szCs w:val="24"/>
        </w:rPr>
      </w:r>
    </w:p>
    <w:p>
      <w:pPr>
        <w:pStyle w:val="Normal"/>
        <w:spacing w:lineRule="auto" w:line="360"/>
        <w:jc w:val="both"/>
        <w:rPr>
          <w:rFonts w:ascii="arial" w:hAnsi="arial"/>
        </w:rPr>
      </w:pPr>
      <w:r>
        <w:rPr>
          <w:rFonts w:cs="Times New Roman" w:ascii="arial" w:hAnsi="arial"/>
          <w:b/>
          <w:sz w:val="24"/>
          <w:szCs w:val="24"/>
        </w:rPr>
      </w:r>
    </w:p>
    <w:p>
      <w:pPr>
        <w:pStyle w:val="Normal"/>
        <w:spacing w:lineRule="auto" w:line="360"/>
        <w:jc w:val="both"/>
        <w:rPr>
          <w:rFonts w:ascii="arial" w:hAnsi="arial"/>
        </w:rPr>
      </w:pPr>
      <w:r>
        <w:rPr>
          <w:rFonts w:cs="Times New Roman" w:ascii="arial" w:hAnsi="arial"/>
          <w:b/>
          <w:sz w:val="24"/>
          <w:szCs w:val="24"/>
        </w:rPr>
      </w:r>
    </w:p>
    <w:p>
      <w:pPr>
        <w:pStyle w:val="BodyText"/>
        <w:ind w:hanging="0" w:left="0" w:right="0"/>
        <w:jc w:val="center"/>
        <w:rPr>
          <w:rFonts w:ascii="Times New Roman" w:hAnsi="Times New Roman"/>
          <w:b/>
          <w:bCs/>
          <w:sz w:val="24"/>
        </w:rPr>
      </w:pPr>
      <w:r>
        <w:rPr>
          <w:rFonts w:ascii="Times New Roman" w:hAnsi="Times New Roman"/>
          <w:b/>
          <w:bCs/>
          <w:sz w:val="24"/>
        </w:rPr>
        <w:t xml:space="preserve"> </w:t>
      </w:r>
      <w:r>
        <w:rPr>
          <w:rFonts w:ascii="Times New Roman" w:hAnsi="Times New Roman"/>
          <w:b/>
          <w:bCs/>
          <w:sz w:val="24"/>
        </w:rPr>
        <w:t>COURSE DESCRIPTIONS</w:t>
      </w:r>
    </w:p>
    <w:p>
      <w:pPr>
        <w:pStyle w:val="BodyText"/>
        <w:ind w:hanging="0" w:left="0" w:right="0"/>
        <w:jc w:val="center"/>
        <w:rPr>
          <w:rFonts w:ascii="Times New Roman" w:hAnsi="Times New Roman"/>
          <w:b/>
          <w:bCs/>
          <w:sz w:val="24"/>
        </w:rPr>
      </w:pPr>
      <w:r>
        <w:rPr>
          <w:rFonts w:ascii="Times New Roman" w:hAnsi="Times New Roman"/>
          <w:b/>
          <w:bCs/>
          <w:sz w:val="24"/>
        </w:rPr>
        <w:t xml:space="preserve"> </w:t>
      </w:r>
      <w:r>
        <w:rPr>
          <w:rFonts w:ascii="Times New Roman" w:hAnsi="Times New Roman"/>
          <w:b/>
          <w:bCs/>
          <w:sz w:val="24"/>
        </w:rPr>
        <w:t>2025/2026 ACADEMIC SESSION</w:t>
      </w:r>
    </w:p>
    <w:p>
      <w:pPr>
        <w:pStyle w:val="BodyText"/>
        <w:ind w:hanging="0" w:left="0" w:right="0"/>
        <w:rPr>
          <w:rFonts w:ascii="Times New Roman" w:hAnsi="Times New Roman"/>
          <w:sz w:val="24"/>
        </w:rPr>
      </w:pPr>
      <w:r>
        <w:rPr>
          <w:rFonts w:ascii="Times New Roman" w:hAnsi="Times New Roman"/>
          <w:sz w:val="24"/>
        </w:rPr>
      </w:r>
    </w:p>
    <w:p>
      <w:pPr>
        <w:pStyle w:val="BodyText"/>
        <w:ind w:hanging="0" w:left="0" w:right="0"/>
        <w:rPr>
          <w:rFonts w:ascii="Times New Roman" w:hAnsi="Times New Roman"/>
          <w:b/>
          <w:bCs/>
          <w:sz w:val="24"/>
        </w:rPr>
      </w:pPr>
      <w:r>
        <w:rPr>
          <w:rFonts w:ascii="Times New Roman" w:hAnsi="Times New Roman"/>
          <w:b/>
          <w:bCs/>
          <w:sz w:val="24"/>
        </w:rPr>
        <w:t>YEAR ONE – FIRST SEMESTER</w:t>
      </w:r>
    </w:p>
    <w:p>
      <w:pPr>
        <w:pStyle w:val="BodyText"/>
        <w:ind w:hanging="0" w:left="0" w:right="0"/>
        <w:rPr>
          <w:rFonts w:ascii="Times New Roman" w:hAnsi="Times New Roman"/>
          <w:b/>
          <w:bCs/>
          <w:sz w:val="24"/>
        </w:rPr>
      </w:pPr>
      <w:r>
        <w:rPr>
          <w:rFonts w:ascii="Times New Roman" w:hAnsi="Times New Roman"/>
          <w:b/>
          <w:bCs/>
          <w:sz w:val="24"/>
        </w:rPr>
      </w:r>
    </w:p>
    <w:p>
      <w:pPr>
        <w:pStyle w:val="BodyText"/>
        <w:ind w:hanging="0" w:left="0" w:right="0"/>
        <w:rPr/>
      </w:pPr>
      <w:r>
        <w:rPr>
          <w:rStyle w:val="Strong"/>
          <w:rFonts w:ascii="Times New Roman" w:hAnsi="Times New Roman"/>
          <w:sz w:val="24"/>
        </w:rPr>
        <w:t>PHL 101: Introduction to Philosophy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The nature, scope and methods of philosophy. The relation of philosophy to other disciplines. Why study philosophy? Illustrations of philosophical thinking from ancient and modern thinkers in metaphysics, epistemology, ethics, and political philosophy. Emphasis on the relevance of philosophy to African thought systems and contemporary student experience.</w:t>
      </w:r>
    </w:p>
    <w:p>
      <w:pPr>
        <w:pStyle w:val="BodyText"/>
        <w:ind w:hanging="0" w:left="0" w:right="0"/>
        <w:rPr/>
      </w:pPr>
      <w:r>
        <w:rPr>
          <w:rStyle w:val="Strong"/>
          <w:rFonts w:ascii="Times New Roman" w:hAnsi="Times New Roman"/>
          <w:sz w:val="24"/>
        </w:rPr>
        <w:t>PHL 103: Elementary Ethics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Basic concepts of morality: good, bad, right, wrong, duty, obligation. Discussion of moral judgements, ethical theories, and conflicts between moral values. Examination of ethical objectivity, authority, punishment, freedom, and moral responsibility. Application to African ethical ideas.</w:t>
      </w:r>
    </w:p>
    <w:p>
      <w:pPr>
        <w:pStyle w:val="BodyText"/>
        <w:ind w:hanging="0" w:left="0" w:right="0"/>
        <w:rPr/>
      </w:pPr>
      <w:r>
        <w:rPr>
          <w:rStyle w:val="Strong"/>
          <w:rFonts w:ascii="Times New Roman" w:hAnsi="Times New Roman"/>
          <w:sz w:val="24"/>
        </w:rPr>
        <w:t>PHL 105: Ancient Philosophy I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A survey of Greek philosophy from Thales to Aristotle. Emphasis on metaphysical, epistemological, and ethical doctrines of major pre</w:t>
        <w:noBreakHyphen/>
        <w:t>Socratic, Socratic, and Platonic traditions, culminating in Aristotle’s system. Attention to the historical and cultural context of ancient Greek thought.</w:t>
      </w:r>
    </w:p>
    <w:p>
      <w:pPr>
        <w:pStyle w:val="BodyText"/>
        <w:ind w:hanging="0" w:left="0" w:right="0"/>
        <w:rPr/>
      </w:pPr>
      <w:r>
        <w:rPr>
          <w:rStyle w:val="Strong"/>
          <w:rFonts w:ascii="Times New Roman" w:hAnsi="Times New Roman"/>
          <w:sz w:val="24"/>
        </w:rPr>
        <w:t>PHL 107: Introduction to Social and Political Philosophy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Application of philosophical thinking to society and the state. Concepts such as nation, state, democracy, dictatorship, freedom, equality, socialism, capitalism, rights, justice, authority, power, legitimacy, citizenship, and political obligation. Introduction to major Western and African social thinkers.</w:t>
      </w:r>
    </w:p>
    <w:p>
      <w:pPr>
        <w:pStyle w:val="BodyText"/>
        <w:ind w:hanging="0" w:left="0" w:right="0"/>
        <w:rPr/>
      </w:pPr>
      <w:r>
        <w:rPr>
          <w:rStyle w:val="Strong"/>
          <w:rFonts w:ascii="Times New Roman" w:hAnsi="Times New Roman"/>
          <w:sz w:val="24"/>
        </w:rPr>
        <w:t>PHL 109: Philosophy of Education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Systematic reflection on the aims, methods, and content of education. Examination of educational theories: realism, idealism, pragmatism, existentialism, perennialism, progressivism, and reconstructionism. Practical debates on the future of education in Nigeria.</w:t>
      </w:r>
    </w:p>
    <w:p>
      <w:pPr>
        <w:pStyle w:val="BodyText"/>
        <w:ind w:hanging="0" w:left="0" w:right="0"/>
        <w:rPr/>
      </w:pPr>
      <w:r>
        <w:rPr>
          <w:rStyle w:val="Strong"/>
          <w:rFonts w:ascii="Times New Roman" w:hAnsi="Times New Roman"/>
          <w:sz w:val="24"/>
        </w:rPr>
        <w:t>PHL 111: Niger Delta Cultural Philosophy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Philosophical analysis of the cultural worldviews, beliefs, values, and knowledge systems of the Niger Delta region. Topics include concepts of person, community, destiny, and the environment; indigenous epistemology and ethics; and the impact of modernity and oil extraction on Niger Delta thought.</w:t>
      </w:r>
    </w:p>
    <w:p>
      <w:pPr>
        <w:pStyle w:val="BodyText"/>
        <w:ind w:hanging="0" w:left="0" w:right="0"/>
        <w:rPr/>
      </w:pPr>
      <w:r>
        <w:rPr>
          <w:rStyle w:val="Strong"/>
          <w:rFonts w:ascii="Times New Roman" w:hAnsi="Times New Roman"/>
          <w:sz w:val="24"/>
        </w:rPr>
        <w:t>HID 105: Major World Civilizations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Comparative study of major world civilisations (Egyptian, Mesopotamian, Indian, Chinese, Greek, Roman, Islamic, and modern Western). Examination of their political, social, economic, and philosophical contributions to human development.</w:t>
      </w:r>
    </w:p>
    <w:p>
      <w:pPr>
        <w:pStyle w:val="BodyText"/>
        <w:ind w:hanging="0" w:left="0" w:right="0"/>
        <w:rPr/>
      </w:pPr>
      <w:r>
        <w:rPr>
          <w:rStyle w:val="Strong"/>
          <w:rFonts w:ascii="Times New Roman" w:hAnsi="Times New Roman"/>
          <w:sz w:val="24"/>
        </w:rPr>
        <w:t>ENG 105: Introduction to Language and Linguistics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Basic concepts in linguistics: phonetics, phonology, morphology, syntax, semantics, and pragmatics. The nature of human language, language acquisition, variation, and change. Relation of language to thought and culture.</w:t>
      </w:r>
    </w:p>
    <w:p>
      <w:pPr>
        <w:pStyle w:val="BodyText"/>
        <w:ind w:hanging="0" w:left="0" w:right="0"/>
        <w:rPr>
          <w:rFonts w:ascii="Times New Roman" w:hAnsi="Times New Roman"/>
          <w:sz w:val="24"/>
        </w:rPr>
      </w:pPr>
      <w:r>
        <w:rPr>
          <w:rFonts w:ascii="Times New Roman" w:hAnsi="Times New Roman"/>
          <w:sz w:val="24"/>
        </w:rPr>
      </w:r>
    </w:p>
    <w:p>
      <w:pPr>
        <w:pStyle w:val="BodyText"/>
        <w:ind w:hanging="0" w:left="0" w:right="0"/>
        <w:rPr>
          <w:rFonts w:ascii="Times New Roman" w:hAnsi="Times New Roman"/>
          <w:b/>
          <w:bCs/>
          <w:sz w:val="24"/>
        </w:rPr>
      </w:pPr>
      <w:r>
        <w:rPr>
          <w:rFonts w:ascii="Times New Roman" w:hAnsi="Times New Roman"/>
          <w:b/>
          <w:bCs/>
          <w:sz w:val="24"/>
        </w:rPr>
        <w:t>YEAR ONE – SECOND SEMESTER</w:t>
      </w:r>
    </w:p>
    <w:p>
      <w:pPr>
        <w:pStyle w:val="BodyText"/>
        <w:ind w:hanging="0" w:left="0" w:right="0"/>
        <w:rPr>
          <w:rFonts w:ascii="Times New Roman" w:hAnsi="Times New Roman"/>
          <w:b/>
          <w:bCs/>
          <w:sz w:val="24"/>
        </w:rPr>
      </w:pPr>
      <w:r>
        <w:rPr>
          <w:rFonts w:ascii="Times New Roman" w:hAnsi="Times New Roman"/>
          <w:b/>
          <w:bCs/>
          <w:sz w:val="24"/>
        </w:rPr>
      </w:r>
    </w:p>
    <w:p>
      <w:pPr>
        <w:pStyle w:val="BodyText"/>
        <w:ind w:hanging="0" w:left="0" w:right="0"/>
        <w:rPr/>
      </w:pPr>
      <w:r>
        <w:rPr>
          <w:rStyle w:val="Strong"/>
          <w:rFonts w:ascii="Times New Roman" w:hAnsi="Times New Roman"/>
          <w:sz w:val="24"/>
        </w:rPr>
        <w:t>NDU</w:t>
        <w:noBreakHyphen/>
        <w:t>GST 104: Leadership, Citizenship and National Orientation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Theories of leadership and followership. Citizenship rights and responsibilities in Nigeria. National symbols, values, and orientation. Ethical challenges of leadership and civic engagement for national development.</w:t>
      </w:r>
    </w:p>
    <w:p>
      <w:pPr>
        <w:pStyle w:val="BodyText"/>
        <w:ind w:hanging="0" w:left="0" w:right="0"/>
        <w:rPr/>
      </w:pPr>
      <w:r>
        <w:rPr>
          <w:rStyle w:val="Strong"/>
          <w:rFonts w:ascii="Times New Roman" w:hAnsi="Times New Roman"/>
          <w:sz w:val="24"/>
        </w:rPr>
        <w:t>GST 112: Nigeria People and Culture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Nigerian history, cultures, ethnic groups, and traditional institutions. The evolution of Nigerian unity and diversity. Indigenous knowledge systems, arts, and festivals. Contemporary cultural dynamics.</w:t>
      </w:r>
    </w:p>
    <w:p>
      <w:pPr>
        <w:pStyle w:val="BodyText"/>
        <w:ind w:hanging="0" w:left="0" w:right="0"/>
        <w:rPr/>
      </w:pPr>
      <w:r>
        <w:rPr>
          <w:rStyle w:val="Strong"/>
          <w:rFonts w:ascii="Times New Roman" w:hAnsi="Times New Roman"/>
          <w:sz w:val="24"/>
        </w:rPr>
        <w:t>PHL 102: Arguments and Critical Thinking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Introduction to the principles of clear thinking, argument analysis, and fallacies. Methods for identifying premises and conclusions, evaluating deductive and inductive arguments, and avoiding cognitive biases. Practical applications in academic and everyday reasoning.</w:t>
      </w:r>
    </w:p>
    <w:p>
      <w:pPr>
        <w:pStyle w:val="BodyText"/>
        <w:ind w:hanging="0" w:left="0" w:right="0"/>
        <w:rPr/>
      </w:pPr>
      <w:r>
        <w:rPr>
          <w:rStyle w:val="Strong"/>
          <w:rFonts w:ascii="Times New Roman" w:hAnsi="Times New Roman"/>
          <w:sz w:val="24"/>
        </w:rPr>
        <w:t>PHL 104: History of Philosophy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A chronological overview of the major periods, schools, and figures in the history of philosophy: ancient, medieval, modern, and contemporary. Emphasis on the continuity and breaks in philosophical problems and methods.</w:t>
      </w:r>
    </w:p>
    <w:p>
      <w:pPr>
        <w:pStyle w:val="BodyText"/>
        <w:ind w:hanging="0" w:left="0" w:right="0"/>
        <w:rPr/>
      </w:pPr>
      <w:r>
        <w:rPr>
          <w:rStyle w:val="Strong"/>
          <w:rFonts w:ascii="Times New Roman" w:hAnsi="Times New Roman"/>
          <w:sz w:val="24"/>
        </w:rPr>
        <w:t>PHL 106: Introduction to African Philosophy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What is African philosophy? Does it exist? Debates on ethnophilosophy, sage philosophy, nationalist</w:t>
        <w:noBreakHyphen/>
        <w:t>ideological philosophy, and professional philosophy. Concepts of God, person, time, destiny, freewill, cause, and chance in African thought. Methodological issues in cross</w:t>
        <w:noBreakHyphen/>
        <w:t>cultural philosophy.</w:t>
      </w:r>
    </w:p>
    <w:p>
      <w:pPr>
        <w:pStyle w:val="BodyText"/>
        <w:ind w:hanging="0" w:left="0" w:right="0"/>
        <w:rPr/>
      </w:pPr>
      <w:r>
        <w:rPr>
          <w:rStyle w:val="Strong"/>
          <w:rFonts w:ascii="Times New Roman" w:hAnsi="Times New Roman"/>
          <w:sz w:val="24"/>
        </w:rPr>
        <w:t>PHL 108: Introduction to Oriental Philosophy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Survey of philosophical traditions of Asia: Hinduism, Buddhism, Confucianism, Taoism, and Shinto. Key concepts (karma, dharma, nirvana, yin</w:t>
        <w:noBreakHyphen/>
        <w:t>yang, wu</w:t>
        <w:noBreakHyphen/>
        <w:t>wei) and major figures (Buddha, Confucius, Laozi, Nagarjuna). Comparison with Western and African philosophies.</w:t>
      </w:r>
    </w:p>
    <w:p>
      <w:pPr>
        <w:pStyle w:val="BodyText"/>
        <w:ind w:hanging="0" w:left="0" w:right="0"/>
        <w:rPr/>
      </w:pPr>
      <w:r>
        <w:rPr>
          <w:rStyle w:val="Strong"/>
          <w:rFonts w:ascii="Times New Roman" w:hAnsi="Times New Roman"/>
          <w:sz w:val="24"/>
        </w:rPr>
        <w:t>PHL 110: Philosophy of Religion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Philosophical inquiry into religion: analysis of God, spirit, eternity, sin, redemption, the sacred, immortality, evil, mysticism. Faith and reason. Arguments for and against the existence of God. Religion and morality. Nature of religious language.</w:t>
      </w:r>
    </w:p>
    <w:p>
      <w:pPr>
        <w:pStyle w:val="BodyText"/>
        <w:ind w:hanging="0" w:left="0" w:right="0"/>
        <w:rPr/>
      </w:pPr>
      <w:r>
        <w:rPr>
          <w:rStyle w:val="Strong"/>
          <w:rFonts w:ascii="Times New Roman" w:hAnsi="Times New Roman"/>
          <w:sz w:val="24"/>
        </w:rPr>
        <w:t>PHL 112: Philosophy and Media Studies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Critical reflection on the role of media (print, broadcast, digital) in shaping worldviews, knowledge, and power. Philosophical issues in journalism ethics, propaganda, fake news, algorithmic bias, and the public sphere. Media literacy from a philosophical standpoint.</w:t>
      </w:r>
    </w:p>
    <w:p>
      <w:pPr>
        <w:pStyle w:val="BodyText"/>
        <w:ind w:hanging="0" w:left="0" w:right="0"/>
        <w:rPr/>
      </w:pPr>
      <w:r>
        <w:rPr>
          <w:rStyle w:val="Strong"/>
          <w:rFonts w:ascii="Times New Roman" w:hAnsi="Times New Roman"/>
          <w:sz w:val="24"/>
        </w:rPr>
        <w:t>PHL 114: Philosophy of Gender and Human Rights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Intersection of philosophy, gender, and human rights. Theoretical foundations of justice, identity, and agency. Feminist critiques of traditional philosophy. Analysis of gender equality, sexual orientation, and human rights instruments. Case studies from Nigeria and Africa.</w:t>
      </w:r>
    </w:p>
    <w:p>
      <w:pPr>
        <w:pStyle w:val="BodyText"/>
        <w:ind w:hanging="0" w:left="0" w:right="0"/>
        <w:rPr/>
      </w:pPr>
      <w:r>
        <w:rPr>
          <w:rStyle w:val="Strong"/>
          <w:rFonts w:ascii="Times New Roman" w:hAnsi="Times New Roman"/>
          <w:sz w:val="24"/>
        </w:rPr>
        <w:t>ARTS 104: African Traditional Religion and Culture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Indigenous African religious beliefs, rituals, and cosmologies. The place of the Supreme Being, divinities, ancestors, and spirits. Sacred spaces, myths, and festivals. Interaction with Islam and Christianity. Cultural preservation and change.</w:t>
      </w:r>
    </w:p>
    <w:p>
      <w:pPr>
        <w:pStyle w:val="BodyText"/>
        <w:ind w:hanging="0" w:left="0" w:right="0"/>
        <w:rPr>
          <w:rFonts w:ascii="Times New Roman" w:hAnsi="Times New Roman"/>
          <w:sz w:val="24"/>
        </w:rPr>
      </w:pPr>
      <w:r>
        <w:rPr>
          <w:rFonts w:ascii="Times New Roman" w:hAnsi="Times New Roman"/>
          <w:sz w:val="24"/>
        </w:rPr>
      </w:r>
    </w:p>
    <w:p>
      <w:pPr>
        <w:pStyle w:val="BodyText"/>
        <w:ind w:hanging="0" w:left="0" w:right="0"/>
        <w:rPr>
          <w:rFonts w:ascii="Times New Roman" w:hAnsi="Times New Roman"/>
          <w:b/>
          <w:bCs/>
          <w:sz w:val="24"/>
        </w:rPr>
      </w:pPr>
      <w:r>
        <w:rPr>
          <w:rFonts w:ascii="Times New Roman" w:hAnsi="Times New Roman"/>
          <w:b/>
          <w:bCs/>
          <w:sz w:val="24"/>
        </w:rPr>
        <w:t>YEAR TWO – FIRST SEMESTER</w:t>
      </w:r>
    </w:p>
    <w:p>
      <w:pPr>
        <w:pStyle w:val="BodyText"/>
        <w:ind w:hanging="0" w:left="0" w:right="0"/>
        <w:rPr>
          <w:rFonts w:ascii="Times New Roman" w:hAnsi="Times New Roman"/>
          <w:b/>
          <w:bCs/>
          <w:sz w:val="24"/>
        </w:rPr>
      </w:pPr>
      <w:r>
        <w:rPr>
          <w:rFonts w:ascii="Times New Roman" w:hAnsi="Times New Roman"/>
          <w:b/>
          <w:bCs/>
          <w:sz w:val="24"/>
        </w:rPr>
      </w:r>
    </w:p>
    <w:p>
      <w:pPr>
        <w:pStyle w:val="BodyText"/>
        <w:ind w:hanging="0" w:left="0" w:right="0"/>
        <w:rPr/>
      </w:pPr>
      <w:r>
        <w:rPr>
          <w:rStyle w:val="Strong"/>
          <w:rFonts w:ascii="Times New Roman" w:hAnsi="Times New Roman"/>
          <w:sz w:val="24"/>
        </w:rPr>
        <w:t>ENT 211: Entrepreneurship and Innovation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Principles of entrepreneurship, opportunity recognition, creativity, and innovation. Business planning, risk management, funding sources, and legal frameworks. Developing an entrepreneurial mindset for self</w:t>
        <w:noBreakHyphen/>
        <w:t>employment and societal impact.</w:t>
      </w:r>
    </w:p>
    <w:p>
      <w:pPr>
        <w:pStyle w:val="BodyText"/>
        <w:ind w:hanging="0" w:left="0" w:right="0"/>
        <w:rPr/>
      </w:pPr>
      <w:r>
        <w:rPr>
          <w:rStyle w:val="Strong"/>
          <w:rFonts w:ascii="Times New Roman" w:hAnsi="Times New Roman"/>
          <w:sz w:val="24"/>
        </w:rPr>
        <w:t>FAC 201: Digital Humanities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Introduction to the use of digital tools and methods in humanities research. Text encoding, data visualisation, digital archives, and critical analysis of digital media. Ethical and philosophical issues in the digital transformation of knowledge.</w:t>
      </w:r>
    </w:p>
    <w:p>
      <w:pPr>
        <w:pStyle w:val="BodyText"/>
        <w:ind w:hanging="0" w:left="0" w:right="0"/>
        <w:rPr/>
      </w:pPr>
      <w:r>
        <w:rPr>
          <w:rStyle w:val="Strong"/>
          <w:rFonts w:ascii="Times New Roman" w:hAnsi="Times New Roman"/>
          <w:sz w:val="24"/>
        </w:rPr>
        <w:t>PHL 201: Medieval Philosophy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Major philosophical doctrines of Jewish, Christian, and Muslim philosophers from Augustine to Ockham. Topics: faith and reason, the problem of universals, proofs for God’s existence, natural law. Figures include Augustine, Boethius, Anselm, Avicenna, Averroes, Maimonides, Aquinas, Ockham.</w:t>
      </w:r>
    </w:p>
    <w:p>
      <w:pPr>
        <w:pStyle w:val="BodyText"/>
        <w:ind w:hanging="0" w:left="0" w:right="0"/>
        <w:rPr/>
      </w:pPr>
      <w:r>
        <w:rPr>
          <w:rStyle w:val="Strong"/>
          <w:rFonts w:ascii="Times New Roman" w:hAnsi="Times New Roman"/>
          <w:sz w:val="24"/>
        </w:rPr>
        <w:t>PHL 203: Theories of Ethics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Detailed study of normative ethical theories: virtue ethics (Aristotle, Aquinas, African virtue ethics), deontology (Kant, Ross), consequentialism (utilitarianism, hedonism), and care ethics. Application to contemporary moral problems.</w:t>
      </w:r>
    </w:p>
    <w:p>
      <w:pPr>
        <w:pStyle w:val="BodyText"/>
        <w:ind w:hanging="0" w:left="0" w:right="0"/>
        <w:rPr/>
      </w:pPr>
      <w:r>
        <w:rPr>
          <w:rStyle w:val="Strong"/>
          <w:rFonts w:ascii="Times New Roman" w:hAnsi="Times New Roman"/>
          <w:sz w:val="24"/>
        </w:rPr>
        <w:t>PHL 205: Introduction to Epistemology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What is knowledge? Types, sources, scope, and justification of knowledge. Relation of knowledge to belief and truth. Skepticism. Major schools: empiricism, rationalism, pragmatism, and reliabilism. Focus on classical and contemporary debates.</w:t>
      </w:r>
    </w:p>
    <w:p>
      <w:pPr>
        <w:pStyle w:val="BodyText"/>
        <w:ind w:hanging="0" w:left="0" w:right="0"/>
        <w:rPr/>
      </w:pPr>
      <w:r>
        <w:rPr>
          <w:rStyle w:val="Strong"/>
          <w:rFonts w:ascii="Times New Roman" w:hAnsi="Times New Roman"/>
          <w:sz w:val="24"/>
        </w:rPr>
        <w:t>PHL 207: Philosophy and Theories of Development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Philosophical foundations of development theories (modernisation, dependency, world</w:t>
        <w:noBreakHyphen/>
        <w:t>systems, capabilities, participatory, post</w:t>
        <w:noBreakHyphen/>
        <w:t>development). Critique of economic growth as development. Ethical issues in development practice: poverty, inequality, sustainability, and cultural imperialism.</w:t>
      </w:r>
    </w:p>
    <w:p>
      <w:pPr>
        <w:pStyle w:val="BodyText"/>
        <w:ind w:hanging="0" w:left="0" w:right="0"/>
        <w:rPr/>
      </w:pPr>
      <w:r>
        <w:rPr>
          <w:rStyle w:val="Strong"/>
          <w:rFonts w:ascii="Times New Roman" w:hAnsi="Times New Roman"/>
          <w:sz w:val="24"/>
        </w:rPr>
        <w:t>PHL 209: Philosophy of Technology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Philosophical reflection on technology: its nature, impact on human life, and ethical challenges. Topics include technological determinism, the relation between technology and values, automation, AI ethics, and the philosophy of engineering.</w:t>
      </w:r>
    </w:p>
    <w:p>
      <w:pPr>
        <w:pStyle w:val="BodyText"/>
        <w:ind w:hanging="0" w:left="0" w:right="0"/>
        <w:rPr/>
      </w:pPr>
      <w:r>
        <w:rPr>
          <w:rStyle w:val="Strong"/>
          <w:rFonts w:ascii="Times New Roman" w:hAnsi="Times New Roman"/>
          <w:sz w:val="24"/>
        </w:rPr>
        <w:t>CMS 201: History of Nigerian Media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Evolution of print, broadcast, and digital media in Nigeria from colonial times to the present. Key media houses, journalists, regulatory frameworks, and the role of media in nationalism, democracy, and development.</w:t>
      </w:r>
    </w:p>
    <w:p>
      <w:pPr>
        <w:pStyle w:val="BodyText"/>
        <w:ind w:hanging="0" w:left="0" w:right="0"/>
        <w:rPr>
          <w:rFonts w:ascii="Times New Roman" w:hAnsi="Times New Roman"/>
          <w:sz w:val="24"/>
        </w:rPr>
      </w:pPr>
      <w:r>
        <w:rPr>
          <w:rFonts w:ascii="Times New Roman" w:hAnsi="Times New Roman"/>
          <w:sz w:val="24"/>
        </w:rPr>
      </w:r>
    </w:p>
    <w:p>
      <w:pPr>
        <w:pStyle w:val="BodyText"/>
        <w:ind w:hanging="0" w:left="0" w:right="0"/>
        <w:rPr>
          <w:rFonts w:ascii="Times New Roman" w:hAnsi="Times New Roman"/>
          <w:b/>
          <w:bCs/>
          <w:sz w:val="24"/>
        </w:rPr>
      </w:pPr>
      <w:r>
        <w:rPr>
          <w:rFonts w:ascii="Times New Roman" w:hAnsi="Times New Roman"/>
          <w:b/>
          <w:bCs/>
          <w:sz w:val="24"/>
        </w:rPr>
        <w:t>YEAR TWO – SECOND SEMESTER</w:t>
      </w:r>
    </w:p>
    <w:p>
      <w:pPr>
        <w:pStyle w:val="BodyText"/>
        <w:ind w:hanging="0" w:left="0" w:right="0"/>
        <w:rPr>
          <w:rFonts w:ascii="Times New Roman" w:hAnsi="Times New Roman"/>
          <w:b/>
          <w:bCs/>
          <w:sz w:val="24"/>
        </w:rPr>
      </w:pPr>
      <w:r>
        <w:rPr>
          <w:rFonts w:ascii="Times New Roman" w:hAnsi="Times New Roman"/>
          <w:b/>
          <w:bCs/>
          <w:sz w:val="24"/>
        </w:rPr>
      </w:r>
    </w:p>
    <w:p>
      <w:pPr>
        <w:pStyle w:val="BodyText"/>
        <w:ind w:hanging="0" w:left="0" w:right="0"/>
        <w:rPr/>
      </w:pPr>
      <w:r>
        <w:rPr>
          <w:rStyle w:val="Strong"/>
          <w:rFonts w:ascii="Times New Roman" w:hAnsi="Times New Roman"/>
          <w:sz w:val="24"/>
        </w:rPr>
        <w:t>NDU</w:t>
        <w:noBreakHyphen/>
        <w:t>GST 202: Basic Communication in Zion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Principles of effective oral and written communication in academic, professional, and social contexts. Listening, speaking, reading, and writing skills. Communication ethics and cross</w:t>
        <w:noBreakHyphen/>
        <w:t>cultural communication.</w:t>
      </w:r>
    </w:p>
    <w:p>
      <w:pPr>
        <w:pStyle w:val="BodyText"/>
        <w:ind w:hanging="0" w:left="0" w:right="0"/>
        <w:rPr/>
      </w:pPr>
      <w:r>
        <w:rPr>
          <w:rStyle w:val="Strong"/>
          <w:rFonts w:ascii="Times New Roman" w:hAnsi="Times New Roman"/>
          <w:sz w:val="24"/>
        </w:rPr>
        <w:t>NDU</w:t>
        <w:noBreakHyphen/>
        <w:t>GST 208: Digital Literacy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Basic digital skills: word processing, spreadsheets, presentations, internet research, email, cybersecurity, and responsible use of social media. Critical evaluation of online information.</w:t>
      </w:r>
    </w:p>
    <w:p>
      <w:pPr>
        <w:pStyle w:val="BodyText"/>
        <w:ind w:hanging="0" w:left="0" w:right="0"/>
        <w:rPr/>
      </w:pPr>
      <w:r>
        <w:rPr>
          <w:rStyle w:val="Strong"/>
          <w:rFonts w:ascii="Times New Roman" w:hAnsi="Times New Roman"/>
          <w:sz w:val="24"/>
        </w:rPr>
        <w:t>GST 212: Philosophy, Logic and Human Existence (2 CU)</w:t>
      </w:r>
      <w:r>
        <w:rPr>
          <w:rFonts w:ascii="Times New Roman" w:hAnsi="Times New Roman"/>
          <w:sz w:val="24"/>
        </w:rPr>
        <w:t xml:space="preserve"> – </w:t>
      </w:r>
      <w:r>
        <w:rPr>
          <w:rStyle w:val="Emphasis"/>
          <w:rFonts w:ascii="Times New Roman" w:hAnsi="Times New Roman"/>
          <w:sz w:val="24"/>
        </w:rPr>
        <w:t>All Lecturers</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Integrative course covering the nature of philosophy, basic logical tools, and philosophical questions of human existence (freedom, death, meaning, identity, personhood). Emphasis on applying logic and philosophical reflection to everyday life.</w:t>
      </w:r>
    </w:p>
    <w:p>
      <w:pPr>
        <w:pStyle w:val="BodyText"/>
        <w:ind w:hanging="0" w:left="0" w:right="0"/>
        <w:rPr/>
      </w:pPr>
      <w:r>
        <w:rPr>
          <w:rStyle w:val="Strong"/>
          <w:rFonts w:ascii="Times New Roman" w:hAnsi="Times New Roman"/>
          <w:sz w:val="24"/>
        </w:rPr>
        <w:t>FAC 202: The Arts and Other Disciplines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Relationship between the arts (visual, performing, literary) and other disciplines (sciences, social sciences, humanities). Interdisciplinary methods and the value of artistic knowledge in addressing societal problems.</w:t>
      </w:r>
    </w:p>
    <w:p>
      <w:pPr>
        <w:pStyle w:val="BodyText"/>
        <w:ind w:hanging="0" w:left="0" w:right="0"/>
        <w:rPr/>
      </w:pPr>
      <w:r>
        <w:rPr>
          <w:rStyle w:val="Strong"/>
          <w:rFonts w:ascii="Times New Roman" w:hAnsi="Times New Roman"/>
          <w:sz w:val="24"/>
        </w:rPr>
        <w:t>PHL 202: Introduction to Logic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General introduction to logic: propositions, arguments, deductive and inductive reasoning, fallacies. Categorical syllogisms, Venn diagrams, and the distinction between valid and invalid forms. Practical exercises in argument analysis.</w:t>
      </w:r>
    </w:p>
    <w:p>
      <w:pPr>
        <w:pStyle w:val="BodyText"/>
        <w:ind w:hanging="0" w:left="0" w:right="0"/>
        <w:rPr/>
      </w:pPr>
      <w:r>
        <w:rPr>
          <w:rStyle w:val="Strong"/>
          <w:rFonts w:ascii="Times New Roman" w:hAnsi="Times New Roman"/>
          <w:sz w:val="24"/>
        </w:rPr>
        <w:t>PHL 204: Social and Political Philosophy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Detailed study of key themes: social contract (Hobbes, Locke, Rousseau), liberty (Mill), justice (Rawls, Nozick, Marxist, African), rights, power (Foucault), and the ideal state. Application to Nigerian political challenges.</w:t>
      </w:r>
    </w:p>
    <w:p>
      <w:pPr>
        <w:pStyle w:val="BodyText"/>
        <w:ind w:hanging="0" w:left="0" w:right="0"/>
        <w:rPr/>
      </w:pPr>
      <w:r>
        <w:rPr>
          <w:rStyle w:val="Strong"/>
          <w:rFonts w:ascii="Times New Roman" w:hAnsi="Times New Roman"/>
          <w:sz w:val="24"/>
        </w:rPr>
        <w:t>PHL 206: Introduction to Metaphysics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Major concerns and scope of metaphysics. Traditional problems: mind</w:t>
        <w:noBreakHyphen/>
        <w:t>body, appearance vs reality, universals vs particulars, free will vs determinism, substance, causation, space, time, and identity. Overview of metaphysical systems in Western and African thought.</w:t>
      </w:r>
    </w:p>
    <w:p>
      <w:pPr>
        <w:pStyle w:val="BodyText"/>
        <w:ind w:hanging="0" w:left="0" w:right="0"/>
        <w:rPr/>
      </w:pPr>
      <w:r>
        <w:rPr>
          <w:rStyle w:val="Strong"/>
          <w:rFonts w:ascii="Times New Roman" w:hAnsi="Times New Roman"/>
          <w:sz w:val="24"/>
        </w:rPr>
        <w:t>PHL 208: Philosophy of Arts and Aesthetics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Central problems in aesthetics: the nature of art, beauty, aesthetic experience, interpretation, evaluation, and the concept of imagination. Theories of art (representation, expression, formalism, institutional). Application to visual art, music, literature, and performance.</w:t>
      </w:r>
    </w:p>
    <w:p>
      <w:pPr>
        <w:pStyle w:val="BodyText"/>
        <w:ind w:hanging="0" w:left="0" w:right="0"/>
        <w:rPr/>
      </w:pPr>
      <w:r>
        <w:rPr>
          <w:rStyle w:val="Strong"/>
          <w:rFonts w:ascii="Times New Roman" w:hAnsi="Times New Roman"/>
          <w:sz w:val="24"/>
        </w:rPr>
        <w:t>PHL 210: Community Service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Introduction to the value, ethics, and practice of community service. Students design and implement a service project (on or off campus) to address a local need, followed by reflective writing on the philosophical dimensions of service, solidarity, and civic responsibility.</w:t>
      </w:r>
    </w:p>
    <w:p>
      <w:pPr>
        <w:pStyle w:val="BodyText"/>
        <w:ind w:hanging="0" w:left="0" w:right="0"/>
        <w:rPr/>
      </w:pPr>
      <w:r>
        <w:rPr>
          <w:rStyle w:val="Strong"/>
          <w:rFonts w:ascii="Times New Roman" w:hAnsi="Times New Roman"/>
          <w:sz w:val="24"/>
        </w:rPr>
        <w:t>PHL 212: Philosophy of Language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Internal structure of language and its relation to the world. Theories of meaning (reference, use, truth</w:t>
        <w:noBreakHyphen/>
        <w:t>conditional). Pragmatics, speech acts, and the relation between language, thought, and reality. Key figures: Frege, Russell, Wittgenstein (early/late), Austin, Searle, Quine, Davidson.</w:t>
      </w:r>
    </w:p>
    <w:p>
      <w:pPr>
        <w:pStyle w:val="BodyText"/>
        <w:ind w:hanging="0" w:left="0" w:right="0"/>
        <w:rPr/>
      </w:pPr>
      <w:r>
        <w:rPr>
          <w:rStyle w:val="Strong"/>
          <w:rFonts w:ascii="Times New Roman" w:hAnsi="Times New Roman"/>
          <w:sz w:val="24"/>
        </w:rPr>
        <w:t>PHL 214: Ethics of Artificial Intelligence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Ethical challenges posed by AI technologies: algorithmic bias, privacy, surveillance, autonomous weapons, job displacement, accountability, AI rights, and the singularity. Application of ethical frameworks (utilitarian, deontological, virtue, African ethics) to AI case studies.</w:t>
      </w:r>
    </w:p>
    <w:p>
      <w:pPr>
        <w:pStyle w:val="BodyText"/>
        <w:ind w:hanging="0" w:left="0" w:right="0"/>
        <w:rPr>
          <w:rFonts w:ascii="Times New Roman" w:hAnsi="Times New Roman"/>
          <w:sz w:val="24"/>
        </w:rPr>
      </w:pPr>
      <w:r>
        <w:rPr>
          <w:rFonts w:ascii="Times New Roman" w:hAnsi="Times New Roman"/>
          <w:sz w:val="24"/>
        </w:rPr>
      </w:r>
    </w:p>
    <w:p>
      <w:pPr>
        <w:pStyle w:val="BodyText"/>
        <w:ind w:hanging="0" w:left="0" w:right="0"/>
        <w:rPr>
          <w:rFonts w:ascii="Times New Roman" w:hAnsi="Times New Roman"/>
          <w:sz w:val="24"/>
        </w:rPr>
      </w:pPr>
      <w:r>
        <w:rPr>
          <w:rFonts w:ascii="Times New Roman" w:hAnsi="Times New Roman"/>
          <w:b/>
          <w:bCs/>
          <w:sz w:val="24"/>
        </w:rPr>
        <w:t>YEAR THREE – FIRST SEMESTER</w:t>
      </w:r>
    </w:p>
    <w:p>
      <w:pPr>
        <w:pStyle w:val="BodyText"/>
        <w:ind w:hanging="0" w:left="0" w:right="0"/>
        <w:rPr/>
      </w:pPr>
      <w:r>
        <w:rPr>
          <w:rStyle w:val="Strong"/>
          <w:rFonts w:ascii="Times New Roman" w:hAnsi="Times New Roman"/>
          <w:sz w:val="24"/>
        </w:rPr>
        <w:t>FAC 301: Research Methods in the Arts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Quantitative and qualitative research methods for the arts and humanities. Literature review, research design, data collection (archival, interview, observation), analysis, and academic writing. Ethical issues in humanities research.</w:t>
      </w:r>
    </w:p>
    <w:p>
      <w:pPr>
        <w:pStyle w:val="BodyText"/>
        <w:ind w:hanging="0" w:left="0" w:right="0"/>
        <w:rPr/>
      </w:pPr>
      <w:r>
        <w:rPr>
          <w:rStyle w:val="Strong"/>
          <w:rFonts w:ascii="Times New Roman" w:hAnsi="Times New Roman"/>
          <w:sz w:val="24"/>
        </w:rPr>
        <w:t>PHL 301: Early Modern Philosophy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Major figures and trends of the early modern period (17th</w:t>
        <w:noBreakHyphen/>
        <w:t>18th centuries): Bacon, Hobbes, Descartes, Spinoza, Leibniz, Locke, Berkeley, Hume, Kant. Rationalism vs empiricism, the rise of modern science, and the foundations of epistemology and metaphysics.</w:t>
      </w:r>
    </w:p>
    <w:p>
      <w:pPr>
        <w:pStyle w:val="BodyText"/>
        <w:ind w:hanging="0" w:left="0" w:right="0"/>
        <w:rPr/>
      </w:pPr>
      <w:r>
        <w:rPr>
          <w:rStyle w:val="Strong"/>
          <w:rFonts w:ascii="Times New Roman" w:hAnsi="Times New Roman"/>
          <w:sz w:val="24"/>
        </w:rPr>
        <w:t>PHL 303: Professional Ethics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Comprehensive study of ethical responsibilities in various professions (law, medicine, engineering, business, journalism, academia). Codes of ethics, whistle</w:t>
        <w:noBreakHyphen/>
        <w:t>blowing, conflicts of interest, and ethical decision</w:t>
        <w:noBreakHyphen/>
        <w:t>making frameworks. Nigerian professional contexts.</w:t>
      </w:r>
    </w:p>
    <w:p>
      <w:pPr>
        <w:pStyle w:val="BodyText"/>
        <w:ind w:hanging="0" w:left="0" w:right="0"/>
        <w:rPr/>
      </w:pPr>
      <w:r>
        <w:rPr>
          <w:rStyle w:val="Strong"/>
          <w:rFonts w:ascii="Times New Roman" w:hAnsi="Times New Roman"/>
          <w:sz w:val="24"/>
        </w:rPr>
        <w:t>PHL 305: Contemporary Issues in African Philosophy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In</w:t>
        <w:noBreakHyphen/>
        <w:t>depth discussion of recent debates: the question of ethnophilosophy, the conversational school, hermeneutic philosophy, and existentialism in Africa. Major African philosophers (Kwasi Wiredu, Paulin Hountondji, Kwame Gyekye, Tsenay Serequeberhan, Sophie Oluwole). Topics include modernity, globalisation, and decolonisation.</w:t>
      </w:r>
    </w:p>
    <w:p>
      <w:pPr>
        <w:pStyle w:val="BodyText"/>
        <w:ind w:hanging="0" w:left="0" w:right="0"/>
        <w:rPr/>
      </w:pPr>
      <w:r>
        <w:rPr>
          <w:rStyle w:val="Strong"/>
          <w:rFonts w:ascii="Times New Roman" w:hAnsi="Times New Roman"/>
          <w:sz w:val="24"/>
        </w:rPr>
        <w:t>PHL 307: Philosophy of the Social Sciences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Similarities and differences between natural and social sciences. Problems of interpretation, explanation, and objectivity. Hermeneutics, critical theory, and methodological individualism vs holism. Value</w:t>
        <w:noBreakHyphen/>
        <w:t>ladenness of social inquiry.</w:t>
      </w:r>
    </w:p>
    <w:p>
      <w:pPr>
        <w:pStyle w:val="BodyText"/>
        <w:ind w:hanging="0" w:left="0" w:right="0"/>
        <w:rPr/>
      </w:pPr>
      <w:r>
        <w:rPr>
          <w:rStyle w:val="Strong"/>
          <w:rFonts w:ascii="Times New Roman" w:hAnsi="Times New Roman"/>
          <w:sz w:val="24"/>
        </w:rPr>
        <w:t>PHL 309: Postmodern Philosophy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Key themes and figures of postmodern thought: Nietzsche, Heidegger, Foucault, Derrida, Lyotard, Deleuze, Rorty, Butler. Critique of grand narratives, truth, representation, and the subject. Postmodern approaches to power, language, identity, and ethics.</w:t>
      </w:r>
    </w:p>
    <w:p>
      <w:pPr>
        <w:pStyle w:val="BodyText"/>
        <w:ind w:hanging="0" w:left="0" w:right="0"/>
        <w:rPr/>
      </w:pPr>
      <w:r>
        <w:rPr>
          <w:rStyle w:val="Strong"/>
          <w:rFonts w:ascii="Times New Roman" w:hAnsi="Times New Roman"/>
          <w:sz w:val="24"/>
        </w:rPr>
        <w:t>PHL 311: Contemporary Issues in Ethics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Philosophical discussion of pressing ethical issues: abortion, euthanasia, artificial insemination, suicide, capital punishment, war, terrorism, nuclear weapons, polygamy, monogamy, and global justice. Emphasis on argument construction and case analysis.</w:t>
      </w:r>
    </w:p>
    <w:p>
      <w:pPr>
        <w:pStyle w:val="BodyText"/>
        <w:ind w:hanging="0" w:left="0" w:right="0"/>
        <w:rPr/>
      </w:pPr>
      <w:r>
        <w:rPr>
          <w:rStyle w:val="Strong"/>
          <w:rFonts w:ascii="Times New Roman" w:hAnsi="Times New Roman"/>
          <w:sz w:val="24"/>
        </w:rPr>
        <w:t>PHL 313: Philosophy and Public Policy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Intersection of philosophy with the formulation, analysis, and evaluation of public policies. Ethical and political principles (justice, utility, rights, capabilities) applied to policy areas such as health, education, environment, economy, and security. Case studies from Nigeria.</w:t>
      </w:r>
    </w:p>
    <w:p>
      <w:pPr>
        <w:pStyle w:val="BodyText"/>
        <w:ind w:hanging="0" w:left="0" w:right="0"/>
        <w:rPr/>
      </w:pPr>
      <w:r>
        <w:rPr>
          <w:rStyle w:val="Strong"/>
          <w:rFonts w:ascii="Times New Roman" w:hAnsi="Times New Roman"/>
          <w:sz w:val="24"/>
        </w:rPr>
        <w:t>PHL 315: Economic Philosophy and Business Ethics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Philosophical foundations of economics (classical, neoclassical, Marxist, institutional). Concepts of value, property, markets, and distribution. Ethical issues in business: corporate social responsibility, consumer protection, labour rights, bribery, and global supply chains.</w:t>
      </w:r>
    </w:p>
    <w:p>
      <w:pPr>
        <w:pStyle w:val="BodyText"/>
        <w:ind w:hanging="0" w:left="0" w:right="0"/>
        <w:rPr/>
      </w:pPr>
      <w:r>
        <w:rPr>
          <w:rStyle w:val="Strong"/>
          <w:rFonts w:ascii="Times New Roman" w:hAnsi="Times New Roman"/>
          <w:sz w:val="24"/>
        </w:rPr>
        <w:t>PHL 317: Philosophy of Globalization and Migration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Philosophical analysis of globalisation (economic, cultural, political) and international migration. Topics include cosmopolitanism vs nationalism, justice for migrants and refugees, human trafficking, brain drain, remittances, and identity in diaspora. African and Nigerian perspectives.</w:t>
      </w:r>
    </w:p>
    <w:p>
      <w:pPr>
        <w:pStyle w:val="BodyText"/>
        <w:ind w:hanging="0" w:left="0" w:right="0"/>
        <w:rPr>
          <w:rFonts w:ascii="Times New Roman" w:hAnsi="Times New Roman"/>
          <w:sz w:val="24"/>
        </w:rPr>
      </w:pPr>
      <w:r>
        <w:rPr>
          <w:rFonts w:ascii="Times New Roman" w:hAnsi="Times New Roman"/>
          <w:sz w:val="24"/>
        </w:rPr>
      </w:r>
    </w:p>
    <w:p>
      <w:pPr>
        <w:pStyle w:val="BodyText"/>
        <w:ind w:hanging="0" w:left="0" w:right="0"/>
        <w:rPr>
          <w:rFonts w:ascii="Times New Roman" w:hAnsi="Times New Roman"/>
          <w:b/>
          <w:bCs/>
          <w:sz w:val="24"/>
        </w:rPr>
      </w:pPr>
      <w:r>
        <w:rPr>
          <w:rFonts w:ascii="Times New Roman" w:hAnsi="Times New Roman"/>
          <w:b/>
          <w:bCs/>
          <w:sz w:val="24"/>
        </w:rPr>
        <w:t>YEAR THREE – SECOND SEMESTER</w:t>
      </w:r>
    </w:p>
    <w:p>
      <w:pPr>
        <w:pStyle w:val="BodyText"/>
        <w:ind w:hanging="0" w:left="0" w:right="0"/>
        <w:rPr>
          <w:rFonts w:ascii="Times New Roman" w:hAnsi="Times New Roman"/>
          <w:b/>
          <w:bCs/>
          <w:sz w:val="24"/>
        </w:rPr>
      </w:pPr>
      <w:r>
        <w:rPr>
          <w:rFonts w:ascii="Times New Roman" w:hAnsi="Times New Roman"/>
          <w:b/>
          <w:bCs/>
          <w:sz w:val="24"/>
        </w:rPr>
      </w:r>
    </w:p>
    <w:p>
      <w:pPr>
        <w:pStyle w:val="BodyText"/>
        <w:ind w:hanging="0" w:left="0" w:right="0"/>
        <w:rPr/>
      </w:pPr>
      <w:r>
        <w:rPr>
          <w:rStyle w:val="Strong"/>
          <w:rFonts w:ascii="Times New Roman" w:hAnsi="Times New Roman"/>
          <w:sz w:val="24"/>
        </w:rPr>
        <w:t>GST 312: Peace and Conflict Resolution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Concepts of peace, violence, conflict, and reconciliation. Theories of conflict analysis and resolution (negotiation, mediation, arbitration, adjudication). Restorative justice, peace</w:t>
        <w:noBreakHyphen/>
        <w:t>building, and case studies from Nigeria and the world.</w:t>
      </w:r>
    </w:p>
    <w:p>
      <w:pPr>
        <w:pStyle w:val="BodyText"/>
        <w:ind w:hanging="0" w:left="0" w:right="0"/>
        <w:rPr/>
      </w:pPr>
      <w:r>
        <w:rPr>
          <w:rStyle w:val="Strong"/>
          <w:rFonts w:ascii="Times New Roman" w:hAnsi="Times New Roman"/>
          <w:sz w:val="24"/>
        </w:rPr>
        <w:t>ENT 312: Venture Creation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Practical steps to create and manage a new venture: idea generation, business model canvas, legal structures, marketing, finance, and scaling. Entrepreneurial ethics and social enterprise.</w:t>
      </w:r>
    </w:p>
    <w:p>
      <w:pPr>
        <w:pStyle w:val="BodyText"/>
        <w:ind w:hanging="0" w:left="0" w:right="0"/>
        <w:rPr/>
      </w:pPr>
      <w:r>
        <w:rPr>
          <w:rStyle w:val="Strong"/>
          <w:rFonts w:ascii="Times New Roman" w:hAnsi="Times New Roman"/>
          <w:sz w:val="24"/>
        </w:rPr>
        <w:t>FAC 302: Theories in the Arts and Humanities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Overview of major theoretical frameworks in the arts and humanities: structuralism, post</w:t>
        <w:noBreakHyphen/>
        <w:t>structuralism, psychoanalysis, feminism, postcolonialism, critical race theory, ecocriticism. Application to literary, visual, and cultural texts.</w:t>
      </w:r>
    </w:p>
    <w:p>
      <w:pPr>
        <w:pStyle w:val="BodyText"/>
        <w:ind w:hanging="0" w:left="0" w:right="0"/>
        <w:rPr/>
      </w:pPr>
      <w:r>
        <w:rPr>
          <w:rStyle w:val="Strong"/>
          <w:rFonts w:ascii="Times New Roman" w:hAnsi="Times New Roman"/>
          <w:sz w:val="24"/>
        </w:rPr>
        <w:t>PHL 302: Symbolic Logic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Study of symbols in logic: propositional and predicate logic. Symbolisation, truth tables, natural deduction, and quantification. Application of truth tables to determine validity and truth values. Preparation for advanced formal reasoning.</w:t>
      </w:r>
    </w:p>
    <w:p>
      <w:pPr>
        <w:pStyle w:val="BodyText"/>
        <w:ind w:hanging="0" w:left="0" w:right="0"/>
        <w:rPr/>
      </w:pPr>
      <w:r>
        <w:rPr>
          <w:rStyle w:val="Strong"/>
          <w:rFonts w:ascii="Times New Roman" w:hAnsi="Times New Roman"/>
          <w:sz w:val="24"/>
        </w:rPr>
        <w:t>PHL 304: Contemporary Analytic Philosophy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Selected movements and figures in analytic philosophy: realism, logical positivism, ordinary language philosophy, pragmatism. Key thinkers: Moore, Russell, Wittgenstein (early/late), Ayer, Ryle, Strawson, Quine, Kripke, Putnam.</w:t>
      </w:r>
    </w:p>
    <w:p>
      <w:pPr>
        <w:pStyle w:val="BodyText"/>
        <w:ind w:hanging="0" w:left="0" w:right="0"/>
        <w:rPr/>
      </w:pPr>
      <w:r>
        <w:rPr>
          <w:rStyle w:val="Strong"/>
          <w:rFonts w:ascii="Times New Roman" w:hAnsi="Times New Roman"/>
          <w:sz w:val="24"/>
        </w:rPr>
        <w:t>PHL 306: Existentialism and Phenomenology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Selected themes and figures: Kierkegaard, Nietzsche, Husserl (phenomenology), Heidegger (Dasein, being</w:t>
        <w:noBreakHyphen/>
        <w:t>in</w:t>
        <w:noBreakHyphen/>
        <w:t>the</w:t>
        <w:noBreakHyphen/>
        <w:t>world), Sartre (freedom, bad faith, the look), de Beauvoir (feminist existentialism), Merleau</w:t>
        <w:noBreakHyphen/>
        <w:t>Ponty (embodiment), Camus (the absurd).</w:t>
      </w:r>
    </w:p>
    <w:p>
      <w:pPr>
        <w:pStyle w:val="BodyText"/>
        <w:ind w:hanging="0" w:left="0" w:right="0"/>
        <w:rPr/>
      </w:pPr>
      <w:r>
        <w:rPr>
          <w:rStyle w:val="Strong"/>
          <w:rFonts w:ascii="Times New Roman" w:hAnsi="Times New Roman"/>
          <w:sz w:val="24"/>
        </w:rPr>
        <w:t>PHL 308: Environmental Philosophy and Sustainability Ethics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Ethical theories for human</w:t>
        <w:noBreakHyphen/>
        <w:t>environment relations: anthropocentrism, biocentrism, ecocentrism, deep ecology, ecofeminism. Topics include sustainability, climate justice, biodiversity loss, pollution, and the rights of nature. African environmental ethics and the Niger Delta context.</w:t>
      </w:r>
    </w:p>
    <w:p>
      <w:pPr>
        <w:pStyle w:val="BodyText"/>
        <w:ind w:hanging="0" w:left="0" w:right="0"/>
        <w:rPr/>
      </w:pPr>
      <w:r>
        <w:rPr>
          <w:rStyle w:val="Strong"/>
          <w:rFonts w:ascii="Times New Roman" w:hAnsi="Times New Roman"/>
          <w:sz w:val="24"/>
        </w:rPr>
        <w:t>PHL 310: Research Methods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Advanced methods for philosophical research: analysis, critique, argument reconstruction, hermeneutics, and phenomenology. Literature search, citation standards (e.g., APA, MLA), ethics of research, and writing a research proposal. Preparation for the long essay.</w:t>
      </w:r>
    </w:p>
    <w:p>
      <w:pPr>
        <w:pStyle w:val="BodyText"/>
        <w:ind w:hanging="0" w:left="0" w:right="0"/>
        <w:rPr/>
      </w:pPr>
      <w:r>
        <w:rPr>
          <w:rStyle w:val="Strong"/>
          <w:rFonts w:ascii="Times New Roman" w:hAnsi="Times New Roman"/>
          <w:sz w:val="24"/>
        </w:rPr>
        <w:t>PHL 312: Philosophy of Food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Philosophical inquiries into food: aesthetics of food, ethics of eating (vegetarianism, animal rights, food justice), politics of food (sovereignty, security, global trade), and the meaning of food in culture and identity. Topics include food waste, GMOs, and traditional African food practices.</w:t>
      </w:r>
    </w:p>
    <w:p>
      <w:pPr>
        <w:pStyle w:val="BodyText"/>
        <w:ind w:hanging="0" w:left="0" w:right="0"/>
        <w:rPr/>
      </w:pPr>
      <w:r>
        <w:rPr>
          <w:rStyle w:val="Strong"/>
          <w:rFonts w:ascii="Times New Roman" w:hAnsi="Times New Roman"/>
          <w:sz w:val="24"/>
        </w:rPr>
        <w:t>PHL 314: Philosophy of Peace and Conflict Resolution (2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Theoretical and practical foundations of peace</w:t>
        <w:noBreakHyphen/>
        <w:t>building. Methods of conflict resolution (facilitation, negotiation, mediation, arbitration, adjudication). Principles of restorative justice, non</w:t>
        <w:noBreakHyphen/>
        <w:t>violence (Gandhi, King), and reconciliation. Case studies from Nigeria and Africa.</w:t>
      </w:r>
    </w:p>
    <w:p>
      <w:pPr>
        <w:pStyle w:val="BodyText"/>
        <w:ind w:hanging="0" w:left="0" w:right="0"/>
        <w:rPr>
          <w:rFonts w:ascii="Times New Roman" w:hAnsi="Times New Roman"/>
          <w:sz w:val="24"/>
        </w:rPr>
      </w:pPr>
      <w:r>
        <w:rPr>
          <w:rFonts w:ascii="Times New Roman" w:hAnsi="Times New Roman"/>
          <w:sz w:val="24"/>
        </w:rPr>
      </w:r>
    </w:p>
    <w:p>
      <w:pPr>
        <w:pStyle w:val="BodyText"/>
        <w:ind w:hanging="0" w:left="0" w:right="0"/>
        <w:rPr>
          <w:rFonts w:ascii="Times New Roman" w:hAnsi="Times New Roman"/>
          <w:b/>
          <w:bCs/>
          <w:sz w:val="24"/>
        </w:rPr>
      </w:pPr>
      <w:r>
        <w:rPr>
          <w:rFonts w:ascii="Times New Roman" w:hAnsi="Times New Roman"/>
          <w:b/>
          <w:bCs/>
          <w:sz w:val="24"/>
        </w:rPr>
        <w:t>YEAR FOUR – FIRST SEMESTER</w:t>
      </w:r>
    </w:p>
    <w:p>
      <w:pPr>
        <w:pStyle w:val="BodyText"/>
        <w:ind w:hanging="0" w:left="0" w:right="0"/>
        <w:rPr>
          <w:rFonts w:ascii="Times New Roman" w:hAnsi="Times New Roman"/>
          <w:b/>
          <w:bCs/>
          <w:sz w:val="24"/>
        </w:rPr>
      </w:pPr>
      <w:r>
        <w:rPr>
          <w:rFonts w:ascii="Times New Roman" w:hAnsi="Times New Roman"/>
          <w:b/>
          <w:bCs/>
          <w:sz w:val="24"/>
        </w:rPr>
      </w:r>
    </w:p>
    <w:p>
      <w:pPr>
        <w:pStyle w:val="BodyText"/>
        <w:ind w:hanging="0" w:left="0" w:right="0"/>
        <w:rPr/>
      </w:pPr>
      <w:r>
        <w:rPr>
          <w:rStyle w:val="Strong"/>
          <w:rFonts w:ascii="Times New Roman" w:hAnsi="Times New Roman"/>
          <w:sz w:val="24"/>
        </w:rPr>
        <w:t>PHL 411: 19th–21st Century Philosophy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Major figures and movements from the 19th to the 21st century: Hegel, Marx, Nietzsche, Kierkegaard, American pragmatism (Peirce, James, Dewey), phenomenology, existentialism, structuralism, post</w:t>
        <w:noBreakHyphen/>
        <w:t>structuralism, and recent analytic philosophy.</w:t>
      </w:r>
    </w:p>
    <w:p>
      <w:pPr>
        <w:pStyle w:val="BodyText"/>
        <w:ind w:hanging="0" w:left="0" w:right="0"/>
        <w:rPr/>
      </w:pPr>
      <w:r>
        <w:rPr>
          <w:rStyle w:val="Strong"/>
          <w:rFonts w:ascii="Times New Roman" w:hAnsi="Times New Roman"/>
          <w:sz w:val="24"/>
        </w:rPr>
        <w:t>PHL 413: Philosophy of Mind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The mind</w:t>
        <w:noBreakHyphen/>
        <w:t>body problem: dualism, physicalism, functionalism, identity theory, eliminativism. Specific mental phenomena: thought, perception, consciousness, emotion, intentionality, and free will. Philosophical issues in psychology and neuroscience.</w:t>
      </w:r>
    </w:p>
    <w:p>
      <w:pPr>
        <w:pStyle w:val="BodyText"/>
        <w:ind w:hanging="0" w:left="0" w:right="0"/>
        <w:rPr/>
      </w:pPr>
      <w:r>
        <w:rPr>
          <w:rStyle w:val="Strong"/>
          <w:rFonts w:ascii="Times New Roman" w:hAnsi="Times New Roman"/>
          <w:sz w:val="24"/>
        </w:rPr>
        <w:t>PHL 415: Social and Political Philosophy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Advanced study of key themes: sovereignty, legitimacy, civil disobedience, global justice, multiculturalism, recognition, and identity politics. Critical analysis of major thinkers (Plato, Aristotle, Hobbes, Locke, Rousseau, Marx, Arendt, Rawls, Habermas, Nussbaum, and African political philosophers).</w:t>
      </w:r>
    </w:p>
    <w:p>
      <w:pPr>
        <w:pStyle w:val="BodyText"/>
        <w:ind w:hanging="0" w:left="0" w:right="0"/>
        <w:rPr/>
      </w:pPr>
      <w:r>
        <w:rPr>
          <w:rStyle w:val="Strong"/>
          <w:rFonts w:ascii="Times New Roman" w:hAnsi="Times New Roman"/>
          <w:sz w:val="24"/>
        </w:rPr>
        <w:t>PHL 417: Classics of Ethics (3 CU)</w:t>
      </w:r>
      <w:r>
        <w:rPr>
          <w:rFonts w:ascii="Times New Roman" w:hAnsi="Times New Roman"/>
          <w:sz w:val="24"/>
        </w:rPr>
        <w:t xml:space="preserve"> </w:t>
      </w:r>
    </w:p>
    <w:p>
      <w:pPr>
        <w:pStyle w:val="BodyText"/>
        <w:ind w:hanging="0" w:left="0" w:right="0"/>
        <w:rPr/>
      </w:pPr>
      <w:r>
        <w:rPr>
          <w:rFonts w:ascii="Times New Roman" w:hAnsi="Times New Roman"/>
          <w:sz w:val="24"/>
        </w:rPr>
        <w:t xml:space="preserve">Close reading of foundational ethical texts: Plato’s </w:t>
      </w:r>
      <w:r>
        <w:rPr>
          <w:rStyle w:val="Emphasis"/>
          <w:rFonts w:ascii="Times New Roman" w:hAnsi="Times New Roman"/>
          <w:sz w:val="24"/>
        </w:rPr>
        <w:t>Republic</w:t>
      </w:r>
      <w:r>
        <w:rPr>
          <w:rFonts w:ascii="Times New Roman" w:hAnsi="Times New Roman"/>
          <w:sz w:val="24"/>
        </w:rPr>
        <w:t xml:space="preserve">, Aristotle’s </w:t>
      </w:r>
      <w:r>
        <w:rPr>
          <w:rStyle w:val="Emphasis"/>
          <w:rFonts w:ascii="Times New Roman" w:hAnsi="Times New Roman"/>
          <w:sz w:val="24"/>
        </w:rPr>
        <w:t>Nicomachean Ethics</w:t>
      </w:r>
      <w:r>
        <w:rPr>
          <w:rFonts w:ascii="Times New Roman" w:hAnsi="Times New Roman"/>
          <w:sz w:val="24"/>
        </w:rPr>
        <w:t xml:space="preserve">, Epictetus’ </w:t>
      </w:r>
      <w:r>
        <w:rPr>
          <w:rStyle w:val="Emphasis"/>
          <w:rFonts w:ascii="Times New Roman" w:hAnsi="Times New Roman"/>
          <w:sz w:val="24"/>
        </w:rPr>
        <w:t>Enchiridion</w:t>
      </w:r>
      <w:r>
        <w:rPr>
          <w:rFonts w:ascii="Times New Roman" w:hAnsi="Times New Roman"/>
          <w:sz w:val="24"/>
        </w:rPr>
        <w:t xml:space="preserve">, Kant’s </w:t>
      </w:r>
      <w:r>
        <w:rPr>
          <w:rStyle w:val="Emphasis"/>
          <w:rFonts w:ascii="Times New Roman" w:hAnsi="Times New Roman"/>
          <w:sz w:val="24"/>
        </w:rPr>
        <w:t>Groundwork</w:t>
      </w:r>
      <w:r>
        <w:rPr>
          <w:rFonts w:ascii="Times New Roman" w:hAnsi="Times New Roman"/>
          <w:sz w:val="24"/>
        </w:rPr>
        <w:t xml:space="preserve">, Mill’s </w:t>
      </w:r>
      <w:r>
        <w:rPr>
          <w:rStyle w:val="Emphasis"/>
          <w:rFonts w:ascii="Times New Roman" w:hAnsi="Times New Roman"/>
          <w:sz w:val="24"/>
        </w:rPr>
        <w:t>Utilitarianism</w:t>
      </w:r>
      <w:r>
        <w:rPr>
          <w:rFonts w:ascii="Times New Roman" w:hAnsi="Times New Roman"/>
          <w:sz w:val="24"/>
        </w:rPr>
        <w:t>, and selections from Nietzsche, Sartre, and contemporary African ethics. Emphasis on interpretation and critical evaluation.</w:t>
      </w:r>
    </w:p>
    <w:p>
      <w:pPr>
        <w:pStyle w:val="BodyText"/>
        <w:ind w:hanging="0" w:left="0" w:right="0"/>
        <w:rPr/>
      </w:pPr>
      <w:r>
        <w:rPr>
          <w:rStyle w:val="Strong"/>
          <w:rFonts w:ascii="Times New Roman" w:hAnsi="Times New Roman"/>
          <w:sz w:val="24"/>
        </w:rPr>
        <w:t>PHL 419: Philosophy of Law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Basic issues: concept of law (natural law vs legal positivism), legal obligation, rights, justice, punishment, adjudication, and judicial precedent. Key figures: Austin, Hart, Fuller, Dworkin, Raz. Application to Nigerian legal system and customary law.</w:t>
      </w:r>
    </w:p>
    <w:p>
      <w:pPr>
        <w:pStyle w:val="BodyText"/>
        <w:ind w:hanging="0" w:left="0" w:right="0"/>
        <w:rPr>
          <w:rFonts w:ascii="Times New Roman" w:hAnsi="Times New Roman"/>
          <w:sz w:val="24"/>
        </w:rPr>
      </w:pPr>
      <w:r>
        <w:rPr>
          <w:rFonts w:ascii="Times New Roman" w:hAnsi="Times New Roman"/>
          <w:sz w:val="24"/>
        </w:rPr>
      </w:r>
    </w:p>
    <w:p>
      <w:pPr>
        <w:pStyle w:val="BodyText"/>
        <w:ind w:hanging="0" w:left="0" w:right="0"/>
        <w:rPr>
          <w:rFonts w:ascii="Times New Roman" w:hAnsi="Times New Roman"/>
          <w:b/>
          <w:bCs/>
          <w:sz w:val="24"/>
        </w:rPr>
      </w:pPr>
      <w:r>
        <w:rPr>
          <w:rFonts w:ascii="Times New Roman" w:hAnsi="Times New Roman"/>
          <w:b/>
          <w:bCs/>
          <w:sz w:val="24"/>
        </w:rPr>
        <w:t>YEAR FOUR – SECOND SEMESTER</w:t>
      </w:r>
    </w:p>
    <w:p>
      <w:pPr>
        <w:pStyle w:val="BodyText"/>
        <w:ind w:hanging="0" w:left="0" w:right="0"/>
        <w:rPr>
          <w:rFonts w:ascii="Times New Roman" w:hAnsi="Times New Roman"/>
          <w:b/>
          <w:bCs/>
          <w:sz w:val="24"/>
        </w:rPr>
      </w:pPr>
      <w:r>
        <w:rPr>
          <w:rFonts w:ascii="Times New Roman" w:hAnsi="Times New Roman"/>
          <w:b/>
          <w:bCs/>
          <w:sz w:val="24"/>
        </w:rPr>
      </w:r>
    </w:p>
    <w:p>
      <w:pPr>
        <w:pStyle w:val="BodyText"/>
        <w:ind w:hanging="0" w:left="0" w:right="0"/>
        <w:rPr/>
      </w:pPr>
      <w:r>
        <w:rPr>
          <w:rStyle w:val="Strong"/>
          <w:rFonts w:ascii="Times New Roman" w:hAnsi="Times New Roman"/>
          <w:sz w:val="24"/>
        </w:rPr>
        <w:t>PHL 422: Philosophy of Science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Central features of scientific enquiry: laws, theories, explanations, prediction, observation, experiment, and hypothesis. Logical and epistemological status of scientific claims. Realism vs anti</w:t>
        <w:noBreakHyphen/>
        <w:t>realism, induction, falsification (Popper), paradigms (Kuhn), and research programmes (Lakatos). Relation between natural and social sciences.</w:t>
      </w:r>
    </w:p>
    <w:p>
      <w:pPr>
        <w:pStyle w:val="BodyText"/>
        <w:ind w:hanging="0" w:left="0" w:right="0"/>
        <w:rPr/>
      </w:pPr>
      <w:r>
        <w:rPr>
          <w:rStyle w:val="Strong"/>
          <w:rFonts w:ascii="Times New Roman" w:hAnsi="Times New Roman"/>
          <w:sz w:val="24"/>
        </w:rPr>
        <w:t>PHL 424: Environmental Ethics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Contemporary issues in environmental ethics: moral standing of non</w:t>
        <w:noBreakHyphen/>
        <w:t>humans, obligations to future generations, sustainable development, pollution, resource depletion, animal rights, and wilderness preservation. Critical analysis of arguments for and against various environmental policies.</w:t>
      </w:r>
    </w:p>
    <w:p>
      <w:pPr>
        <w:pStyle w:val="BodyText"/>
        <w:ind w:hanging="0" w:left="0" w:right="0"/>
        <w:rPr/>
      </w:pPr>
      <w:r>
        <w:rPr>
          <w:rStyle w:val="Strong"/>
          <w:rFonts w:ascii="Times New Roman" w:hAnsi="Times New Roman"/>
          <w:sz w:val="24"/>
        </w:rPr>
        <w:t>PHL 426: Long Essay (6 CU)</w:t>
      </w:r>
      <w:r>
        <w:rPr>
          <w:rFonts w:ascii="Times New Roman" w:hAnsi="Times New Roman"/>
          <w:sz w:val="24"/>
        </w:rPr>
        <w:t xml:space="preserve"> – </w:t>
      </w:r>
      <w:r>
        <w:rPr>
          <w:rStyle w:val="Emphasis"/>
          <w:rFonts w:ascii="Times New Roman" w:hAnsi="Times New Roman"/>
          <w:sz w:val="24"/>
        </w:rPr>
        <w:t>All Lecturers</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A detailed, advanced essay (6,000–8,000 words) written under the supervision of a member of academic staff. The topic may be a philosopher, a school of philosophy, a philosophical problem, or a philosophical examination of a contemporary issue. Includes a proposal, literature review, and structured argument.</w:t>
      </w:r>
    </w:p>
    <w:p>
      <w:pPr>
        <w:pStyle w:val="BodyText"/>
        <w:ind w:hanging="0" w:left="0" w:right="0"/>
        <w:rPr/>
      </w:pPr>
      <w:r>
        <w:rPr>
          <w:rStyle w:val="Strong"/>
          <w:rFonts w:ascii="Times New Roman" w:hAnsi="Times New Roman"/>
          <w:sz w:val="24"/>
        </w:rPr>
        <w:t xml:space="preserve">PHL 428: Descartes, Hume </w:t>
      </w:r>
      <w:r>
        <w:rPr>
          <w:rStyle w:val="Strong"/>
          <w:rFonts w:ascii="Times New Roman" w:hAnsi="Times New Roman"/>
          <w:sz w:val="24"/>
        </w:rPr>
        <w:t>and</w:t>
      </w:r>
      <w:r>
        <w:rPr>
          <w:rStyle w:val="Strong"/>
          <w:rFonts w:ascii="Times New Roman" w:hAnsi="Times New Roman"/>
          <w:sz w:val="24"/>
        </w:rPr>
        <w:t xml:space="preserve"> Kant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Intensive study of three pivotal modern philosophers. Descartes: method of doubt, cogito, mind</w:t>
        <w:noBreakHyphen/>
        <w:t>body dualism, proofs for God. Hume: impressions and ideas, causality, induction, scepticism, morality. Kant: synthetic a priori judgments, transcendental idealism, categories, moral law (categorical imperative). Comparison and critique.</w:t>
      </w:r>
    </w:p>
    <w:p>
      <w:pPr>
        <w:pStyle w:val="BodyText"/>
        <w:ind w:hanging="0" w:left="0" w:right="0"/>
        <w:rPr/>
      </w:pPr>
      <w:r>
        <w:rPr>
          <w:rStyle w:val="Strong"/>
          <w:rFonts w:ascii="Times New Roman" w:hAnsi="Times New Roman"/>
          <w:sz w:val="24"/>
        </w:rPr>
        <w:t>PHL 440: Hegel and Marx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Detailed study of Hegel’s absolute idealism, dialectic, and philosophy of history. Marx’s critique of Hegel, historical materialism, alienation, capitalism, class struggle, ideology, and revolution. Influence on subsequent social and political thought.</w:t>
      </w:r>
    </w:p>
    <w:p>
      <w:pPr>
        <w:pStyle w:val="BodyText"/>
        <w:ind w:hanging="0" w:left="0" w:right="0"/>
        <w:rPr/>
      </w:pPr>
      <w:r>
        <w:rPr>
          <w:rStyle w:val="Strong"/>
          <w:rFonts w:ascii="Times New Roman" w:hAnsi="Times New Roman"/>
          <w:sz w:val="24"/>
        </w:rPr>
        <w:t>PHL 444: Oriental Philosophy (3 CU)</w:t>
      </w:r>
      <w:r>
        <w:rPr>
          <w:rFonts w:ascii="Times New Roman" w:hAnsi="Times New Roman"/>
          <w:sz w:val="24"/>
        </w:rPr>
        <w:t xml:space="preserve"> </w:t>
      </w:r>
    </w:p>
    <w:p>
      <w:pPr>
        <w:pStyle w:val="BodyText"/>
        <w:ind w:hanging="0" w:left="0" w:right="0"/>
        <w:rPr>
          <w:rFonts w:ascii="Times New Roman" w:hAnsi="Times New Roman"/>
          <w:sz w:val="24"/>
        </w:rPr>
      </w:pPr>
      <w:r>
        <w:rPr>
          <w:rFonts w:ascii="Times New Roman" w:hAnsi="Times New Roman"/>
          <w:sz w:val="24"/>
        </w:rPr>
        <w:t>Advanced study of Eastern philosophical traditions: Hinduism (Vedanta, Yoga), Buddhism (Theravada, Mahayana, Zen), Confucianism (ren, li, junzi), Taoism (wu</w:t>
        <w:noBreakHyphen/>
        <w:t>wei, ziran), and Shinto. Comparative analysis with Western and African philosophy. Contemporary relevance.</w:t>
      </w:r>
    </w:p>
    <w:p>
      <w:pPr>
        <w:pStyle w:val="Normal"/>
        <w:spacing w:lineRule="auto" w:line="240" w:before="0" w:after="0"/>
        <w:jc w:val="both"/>
        <w:rPr>
          <w:rFonts w:ascii="arial" w:hAnsi="arial"/>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alibri">
    <w:charset w:val="01"/>
    <w:family w:val="roman"/>
    <w:pitch w:val="variable"/>
  </w:font>
  <w:font w:name="Lucida Grande">
    <w:charset w:val="01"/>
    <w:family w:val="roman"/>
    <w:pitch w:val="variable"/>
  </w:font>
  <w:font w:name="Liberation Sans">
    <w:altName w:val="Arial"/>
    <w:charset w:val="01"/>
    <w:family w:val="roman"/>
    <w:pitch w:val="variable"/>
  </w:font>
  <w:font w:name="Times New Roman">
    <w:charset w:val="01"/>
    <w:family w:val="roman"/>
    <w:pitch w:val="variable"/>
  </w:font>
  <w:font w:name="arial">
    <w:charset w:val="01"/>
    <w:family w:val="roman"/>
    <w:pitch w:val="variable"/>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low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low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lowerLetter"/>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5">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
    <w:lvl w:ilvl="0">
      <w:start w:val="2"/>
      <w:numFmt w:val="decimal"/>
      <w:lvlText w:val="%1"/>
      <w:lvlJc w:val="left"/>
      <w:pPr>
        <w:tabs>
          <w:tab w:val="num" w:pos="0"/>
        </w:tabs>
        <w:ind w:left="465" w:hanging="465"/>
      </w:pPr>
      <w:rPr/>
    </w:lvl>
    <w:lvl w:ilvl="1">
      <w:start w:val="2"/>
      <w:numFmt w:val="decimalZero"/>
      <w:lvlText w:val="%1.%2"/>
      <w:lvlJc w:val="left"/>
      <w:pPr>
        <w:tabs>
          <w:tab w:val="num" w:pos="0"/>
        </w:tabs>
        <w:ind w:left="891" w:hanging="465"/>
      </w:pPr>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2358" w:hanging="108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570" w:hanging="144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782" w:hanging="1800"/>
      </w:pPr>
      <w:rPr/>
    </w:lvl>
    <w:lvl w:ilvl="8">
      <w:start w:val="1"/>
      <w:numFmt w:val="decimal"/>
      <w:lvlText w:val="%1.%2.%3.%4.%5.%6.%7.%8.%9"/>
      <w:lvlJc w:val="left"/>
      <w:pPr>
        <w:tabs>
          <w:tab w:val="num" w:pos="0"/>
        </w:tabs>
        <w:ind w:left="5208" w:hanging="1800"/>
      </w:pPr>
      <w:rPr/>
    </w:lvl>
  </w:abstractNum>
  <w:abstractNum w:abstractNumId="7">
    <w:lvl w:ilvl="0">
      <w:start w:val="2"/>
      <w:numFmt w:val="decimal"/>
      <w:lvlText w:val="%1"/>
      <w:lvlJc w:val="left"/>
      <w:pPr>
        <w:tabs>
          <w:tab w:val="num" w:pos="0"/>
        </w:tabs>
        <w:ind w:left="465" w:hanging="465"/>
      </w:pPr>
      <w:rPr/>
    </w:lvl>
    <w:lvl w:ilvl="1">
      <w:start w:val="5"/>
      <w:numFmt w:val="decimalZero"/>
      <w:lvlText w:val="%1.%2"/>
      <w:lvlJc w:val="left"/>
      <w:pPr>
        <w:tabs>
          <w:tab w:val="num" w:pos="0"/>
        </w:tabs>
        <w:ind w:left="1905" w:hanging="465"/>
      </w:pPr>
      <w:rPr/>
    </w:lvl>
    <w:lvl w:ilvl="2">
      <w:start w:val="1"/>
      <w:numFmt w:val="decimal"/>
      <w:lvlText w:val="%1.%2.%3"/>
      <w:lvlJc w:val="left"/>
      <w:pPr>
        <w:tabs>
          <w:tab w:val="num" w:pos="0"/>
        </w:tabs>
        <w:ind w:left="3600" w:hanging="720"/>
      </w:pPr>
      <w:rPr/>
    </w:lvl>
    <w:lvl w:ilvl="3">
      <w:start w:val="1"/>
      <w:numFmt w:val="decimal"/>
      <w:lvlText w:val="%1.%2.%3.%4"/>
      <w:lvlJc w:val="left"/>
      <w:pPr>
        <w:tabs>
          <w:tab w:val="num" w:pos="0"/>
        </w:tabs>
        <w:ind w:left="5400" w:hanging="1080"/>
      </w:pPr>
      <w:rPr/>
    </w:lvl>
    <w:lvl w:ilvl="4">
      <w:start w:val="1"/>
      <w:numFmt w:val="decimal"/>
      <w:lvlText w:val="%1.%2.%3.%4.%5"/>
      <w:lvlJc w:val="left"/>
      <w:pPr>
        <w:tabs>
          <w:tab w:val="num" w:pos="0"/>
        </w:tabs>
        <w:ind w:left="6840" w:hanging="1080"/>
      </w:pPr>
      <w:rPr/>
    </w:lvl>
    <w:lvl w:ilvl="5">
      <w:start w:val="1"/>
      <w:numFmt w:val="decimal"/>
      <w:lvlText w:val="%1.%2.%3.%4.%5.%6"/>
      <w:lvlJc w:val="left"/>
      <w:pPr>
        <w:tabs>
          <w:tab w:val="num" w:pos="0"/>
        </w:tabs>
        <w:ind w:left="8640" w:hanging="1440"/>
      </w:pPr>
      <w:rPr/>
    </w:lvl>
    <w:lvl w:ilvl="6">
      <w:start w:val="1"/>
      <w:numFmt w:val="decimal"/>
      <w:lvlText w:val="%1.%2.%3.%4.%5.%6.%7"/>
      <w:lvlJc w:val="left"/>
      <w:pPr>
        <w:tabs>
          <w:tab w:val="num" w:pos="0"/>
        </w:tabs>
        <w:ind w:left="10080" w:hanging="1440"/>
      </w:pPr>
      <w:rPr/>
    </w:lvl>
    <w:lvl w:ilvl="7">
      <w:start w:val="1"/>
      <w:numFmt w:val="decimal"/>
      <w:lvlText w:val="%1.%2.%3.%4.%5.%6.%7.%8"/>
      <w:lvlJc w:val="left"/>
      <w:pPr>
        <w:tabs>
          <w:tab w:val="num" w:pos="0"/>
        </w:tabs>
        <w:ind w:left="11880" w:hanging="1800"/>
      </w:pPr>
      <w:rPr/>
    </w:lvl>
    <w:lvl w:ilvl="8">
      <w:start w:val="1"/>
      <w:numFmt w:val="decimal"/>
      <w:lvlText w:val="%1.%2.%3.%4.%5.%6.%7.%8.%9"/>
      <w:lvlJc w:val="left"/>
      <w:pPr>
        <w:tabs>
          <w:tab w:val="num" w:pos="0"/>
        </w:tabs>
        <w:ind w:left="13320" w:hanging="1800"/>
      </w:pPr>
      <w:rPr/>
    </w:lvl>
  </w:abstractNum>
  <w:abstractNum w:abstractNumId="8">
    <w:lvl w:ilvl="0">
      <w:start w:val="2"/>
      <w:numFmt w:val="decimal"/>
      <w:lvlText w:val="%1"/>
      <w:lvlJc w:val="left"/>
      <w:pPr>
        <w:tabs>
          <w:tab w:val="num" w:pos="0"/>
        </w:tabs>
        <w:ind w:left="465" w:hanging="465"/>
      </w:pPr>
      <w:rPr/>
    </w:lvl>
    <w:lvl w:ilvl="1">
      <w:start w:val="9"/>
      <w:numFmt w:val="decimalZero"/>
      <w:lvlText w:val="%1.%2"/>
      <w:lvlJc w:val="left"/>
      <w:pPr>
        <w:tabs>
          <w:tab w:val="num" w:pos="0"/>
        </w:tabs>
        <w:ind w:left="891" w:hanging="465"/>
      </w:pPr>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2358" w:hanging="108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570" w:hanging="144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782" w:hanging="1800"/>
      </w:pPr>
      <w:rPr/>
    </w:lvl>
    <w:lvl w:ilvl="8">
      <w:start w:val="1"/>
      <w:numFmt w:val="decimal"/>
      <w:lvlText w:val="%1.%2.%3.%4.%5.%6.%7.%8.%9"/>
      <w:lvlJc w:val="left"/>
      <w:pPr>
        <w:tabs>
          <w:tab w:val="num" w:pos="0"/>
        </w:tabs>
        <w:ind w:left="5208" w:hanging="1800"/>
      </w:pPr>
      <w:rPr/>
    </w:lvl>
  </w:abstractNum>
  <w:abstractNum w:abstractNumId="9">
    <w:lvl w:ilvl="0">
      <w:start w:val="2"/>
      <w:numFmt w:val="decimal"/>
      <w:lvlText w:val="%1"/>
      <w:lvlJc w:val="left"/>
      <w:pPr>
        <w:tabs>
          <w:tab w:val="num" w:pos="0"/>
        </w:tabs>
        <w:ind w:left="465" w:hanging="465"/>
      </w:pPr>
      <w:rPr/>
    </w:lvl>
    <w:lvl w:ilvl="1">
      <w:start w:val="12"/>
      <w:numFmt w:val="decimalZero"/>
      <w:lvlText w:val="%1.%2"/>
      <w:lvlJc w:val="left"/>
      <w:pPr>
        <w:tabs>
          <w:tab w:val="num" w:pos="0"/>
        </w:tabs>
        <w:ind w:left="891" w:hanging="465"/>
      </w:pPr>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2358" w:hanging="108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570" w:hanging="144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782" w:hanging="1800"/>
      </w:pPr>
      <w:rPr/>
    </w:lvl>
    <w:lvl w:ilvl="8">
      <w:start w:val="1"/>
      <w:numFmt w:val="decimal"/>
      <w:lvlText w:val="%1.%2.%3.%4.%5.%6.%7.%8.%9"/>
      <w:lvlJc w:val="left"/>
      <w:pPr>
        <w:tabs>
          <w:tab w:val="num" w:pos="0"/>
        </w:tabs>
        <w:ind w:left="5208" w:hanging="1800"/>
      </w:pPr>
      <w:rPr/>
    </w:lvl>
  </w:abstractNum>
  <w:abstractNum w:abstractNumId="10">
    <w:lvl w:ilvl="0">
      <w:start w:val="2"/>
      <w:numFmt w:val="decimal"/>
      <w:lvlText w:val="%1"/>
      <w:lvlJc w:val="left"/>
      <w:pPr>
        <w:tabs>
          <w:tab w:val="num" w:pos="0"/>
        </w:tabs>
        <w:ind w:left="465" w:hanging="465"/>
      </w:pPr>
      <w:rPr/>
    </w:lvl>
    <w:lvl w:ilvl="1">
      <w:start w:val="15"/>
      <w:numFmt w:val="decimalZero"/>
      <w:lvlText w:val="%1.%2"/>
      <w:lvlJc w:val="left"/>
      <w:pPr>
        <w:tabs>
          <w:tab w:val="num" w:pos="0"/>
        </w:tabs>
        <w:ind w:left="891" w:hanging="465"/>
      </w:pPr>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2358" w:hanging="108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570" w:hanging="144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782" w:hanging="1800"/>
      </w:pPr>
      <w:rPr/>
    </w:lvl>
    <w:lvl w:ilvl="8">
      <w:start w:val="1"/>
      <w:numFmt w:val="decimal"/>
      <w:lvlText w:val="%1.%2.%3.%4.%5.%6.%7.%8.%9"/>
      <w:lvlJc w:val="left"/>
      <w:pPr>
        <w:tabs>
          <w:tab w:val="num" w:pos="0"/>
        </w:tabs>
        <w:ind w:left="5208" w:hanging="1800"/>
      </w:pPr>
      <w:rPr/>
    </w:lvl>
  </w:abstractNum>
  <w:abstractNum w:abstractNumId="11">
    <w:lvl w:ilvl="0">
      <w:start w:val="2"/>
      <w:numFmt w:val="decimal"/>
      <w:lvlText w:val="%1"/>
      <w:lvlJc w:val="left"/>
      <w:pPr>
        <w:tabs>
          <w:tab w:val="num" w:pos="0"/>
        </w:tabs>
        <w:ind w:left="465" w:hanging="465"/>
      </w:pPr>
      <w:rPr/>
    </w:lvl>
    <w:lvl w:ilvl="1">
      <w:start w:val="18"/>
      <w:numFmt w:val="decimalZero"/>
      <w:lvlText w:val="%1.%2"/>
      <w:lvlJc w:val="left"/>
      <w:pPr>
        <w:tabs>
          <w:tab w:val="num" w:pos="0"/>
        </w:tabs>
        <w:ind w:left="891" w:hanging="465"/>
      </w:pPr>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2358" w:hanging="108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570" w:hanging="144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782" w:hanging="1800"/>
      </w:pPr>
      <w:rPr/>
    </w:lvl>
    <w:lvl w:ilvl="8">
      <w:start w:val="1"/>
      <w:numFmt w:val="decimal"/>
      <w:lvlText w:val="%1.%2.%3.%4.%5.%6.%7.%8.%9"/>
      <w:lvlJc w:val="left"/>
      <w:pPr>
        <w:tabs>
          <w:tab w:val="num" w:pos="0"/>
        </w:tabs>
        <w:ind w:left="5208" w:hanging="1800"/>
      </w:pPr>
      <w:rPr/>
    </w:lvl>
  </w:abstractNum>
  <w:abstractNum w:abstractNumId="12">
    <w:lvl w:ilvl="0">
      <w:start w:val="2"/>
      <w:numFmt w:val="decimal"/>
      <w:lvlText w:val="%1"/>
      <w:lvlJc w:val="left"/>
      <w:pPr>
        <w:tabs>
          <w:tab w:val="num" w:pos="0"/>
        </w:tabs>
        <w:ind w:left="465" w:hanging="465"/>
      </w:pPr>
      <w:rPr/>
    </w:lvl>
    <w:lvl w:ilvl="1">
      <w:start w:val="21"/>
      <w:numFmt w:val="decimalZero"/>
      <w:lvlText w:val="%1.%2"/>
      <w:lvlJc w:val="left"/>
      <w:pPr>
        <w:tabs>
          <w:tab w:val="num" w:pos="0"/>
        </w:tabs>
        <w:ind w:left="891" w:hanging="465"/>
      </w:pPr>
      <w:rPr>
        <w:b/>
        <w:bCs/>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2358" w:hanging="108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570" w:hanging="144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782" w:hanging="1800"/>
      </w:pPr>
      <w:rPr/>
    </w:lvl>
    <w:lvl w:ilvl="8">
      <w:start w:val="1"/>
      <w:numFmt w:val="decimal"/>
      <w:lvlText w:val="%1.%2.%3.%4.%5.%6.%7.%8.%9"/>
      <w:lvlJc w:val="left"/>
      <w:pPr>
        <w:tabs>
          <w:tab w:val="num" w:pos="0"/>
        </w:tabs>
        <w:ind w:left="5208" w:hanging="1800"/>
      </w:pPr>
      <w:rPr/>
    </w:lvl>
  </w:abstractNum>
  <w:abstractNum w:abstractNumId="13">
    <w:lvl w:ilvl="0">
      <w:start w:val="1"/>
      <w:numFmt w:val="lowerRoman"/>
      <w:lvlText w:val="%1."/>
      <w:lvlJc w:val="left"/>
      <w:pPr>
        <w:tabs>
          <w:tab w:val="num" w:pos="0"/>
        </w:tabs>
        <w:ind w:left="1146" w:hanging="72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14">
    <w:lvl w:ilvl="0">
      <w:start w:val="1"/>
      <w:numFmt w:val="upperRoman"/>
      <w:lvlText w:val="%1."/>
      <w:lvlJc w:val="left"/>
      <w:pPr>
        <w:tabs>
          <w:tab w:val="num" w:pos="0"/>
        </w:tabs>
        <w:ind w:left="1146" w:hanging="720"/>
      </w:pPr>
      <w:rPr>
        <w:b/>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84d2f"/>
    <w:pPr>
      <w:widowControl/>
      <w:suppressAutoHyphens w:val="true"/>
      <w:bidi w:val="0"/>
      <w:spacing w:lineRule="auto" w:line="276" w:before="0" w:after="200"/>
      <w:jc w:val="left"/>
    </w:pPr>
    <w:rPr>
      <w:rFonts w:ascii="Cambria" w:hAnsi="Cambria" w:eastAsia="Cambria" w:cs="" w:eastAsiaTheme="minorHAnsi"/>
      <w:color w:val="auto"/>
      <w:kern w:val="0"/>
      <w:sz w:val="22"/>
      <w:szCs w:val="22"/>
      <w:lang w:val="en-GB" w:eastAsia="en-US" w:bidi="ar-SA"/>
    </w:rPr>
  </w:style>
  <w:style w:type="paragraph" w:styleId="Heading2">
    <w:name w:val="heading 2"/>
    <w:basedOn w:val="Normal"/>
    <w:next w:val="Normal"/>
    <w:link w:val="Heading2Char"/>
    <w:uiPriority w:val="9"/>
    <w:unhideWhenUsed/>
    <w:qFormat/>
    <w:rsid w:val="00484d2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uiPriority w:val="9"/>
    <w:qFormat/>
    <w:rsid w:val="00484d2f"/>
    <w:rPr>
      <w:rFonts w:ascii="Calibri" w:hAnsi="Calibri" w:eastAsia="" w:cs="" w:asciiTheme="majorHAnsi" w:cstheme="majorBidi" w:eastAsiaTheme="majorEastAsia" w:hAnsiTheme="majorHAnsi"/>
      <w:b/>
      <w:bCs/>
      <w:color w:themeColor="accent1" w:val="4F81BD"/>
      <w:sz w:val="26"/>
      <w:szCs w:val="26"/>
      <w:lang w:val="en-GB"/>
    </w:rPr>
  </w:style>
  <w:style w:type="character" w:styleId="BalloonTextChar" w:customStyle="1">
    <w:name w:val="Balloon Text Char"/>
    <w:basedOn w:val="DefaultParagraphFont"/>
    <w:link w:val="BalloonText"/>
    <w:uiPriority w:val="99"/>
    <w:semiHidden/>
    <w:qFormat/>
    <w:rsid w:val="00484d2f"/>
    <w:rPr>
      <w:rFonts w:ascii="Lucida Grande" w:hAnsi="Lucida Grande" w:eastAsia="Cambria" w:eastAsiaTheme="minorHAnsi"/>
      <w:sz w:val="18"/>
      <w:szCs w:val="18"/>
      <w:lang w:val="en-GB"/>
    </w:rPr>
  </w:style>
  <w:style w:type="character" w:styleId="Strong">
    <w:name w:val="Strong"/>
    <w:qFormat/>
    <w:rPr>
      <w:b/>
      <w:bCs/>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484d2f"/>
    <w:pPr>
      <w:spacing w:before="0" w:after="200"/>
      <w:ind w:left="720"/>
      <w:contextualSpacing/>
    </w:pPr>
    <w:rPr/>
  </w:style>
  <w:style w:type="paragraph" w:styleId="BalloonText">
    <w:name w:val="Balloon Text"/>
    <w:basedOn w:val="Normal"/>
    <w:link w:val="BalloonTextChar"/>
    <w:uiPriority w:val="99"/>
    <w:semiHidden/>
    <w:unhideWhenUsed/>
    <w:qFormat/>
    <w:rsid w:val="00484d2f"/>
    <w:pPr>
      <w:spacing w:lineRule="auto" w:line="240" w:before="0" w:after="0"/>
    </w:pPr>
    <w:rPr>
      <w:rFonts w:ascii="Lucida Grande" w:hAnsi="Lucida Grande"/>
      <w:sz w:val="18"/>
      <w:szCs w:val="18"/>
    </w:rPr>
  </w:style>
  <w:style w:type="paragraph" w:styleId="FrameContents">
    <w:name w:val="Frame Contents"/>
    <w:basedOn w:val="Normal"/>
    <w:qFormat/>
    <w:pPr/>
    <w:rPr/>
  </w:style>
  <w:style w:type="paragraph" w:styleId="TableContents">
    <w:name w:val="Table Contents"/>
    <w:basedOn w:val="Normal"/>
    <w:qFormat/>
    <w:pPr>
      <w:suppressLineNumbers/>
      <w:suppressAutoHyphens w:val="true"/>
      <w:overflowPunct w:val="false"/>
      <w:spacing w:lineRule="auto" w:line="240" w:before="0" w:after="0"/>
    </w:pPr>
    <w:rPr>
      <w:rFonts w:ascii="Times New Roman" w:hAnsi="Times New Roman" w:eastAsia="Noto Serif CJK SC" w:cs="Lohit Devanagari"/>
      <w:sz w:val="26"/>
      <w:szCs w:val="26"/>
      <w:lang w:eastAsia="zh-CN" w:bidi="hi-IN"/>
    </w:rPr>
  </w:style>
  <w:style w:type="paragraph" w:styleId="NormalWeb">
    <w:name w:val="Normal (Web)"/>
    <w:basedOn w:val="Normal"/>
    <w:qFormat/>
    <w:pPr>
      <w:spacing w:lineRule="auto" w:line="240" w:beforeAutospacing="1" w:afterAutospacing="1"/>
    </w:pPr>
    <w:rPr>
      <w:rFonts w:ascii="Times New Roman" w:hAnsi="Times New Roman" w:eastAsia="" w:cs="Times New Roman" w:eastAsiaTheme="minorEastAsia"/>
      <w:sz w:val="24"/>
      <w:szCs w:val="24"/>
      <w:lang w:val="en-US"/>
    </w:rPr>
  </w:style>
  <w:style w:type="paragraph" w:styleId="NoSpacing">
    <w:name w:val="No Spacing"/>
    <w:qFormat/>
    <w:pPr>
      <w:widowControl/>
      <w:suppressAutoHyphens w:val="true"/>
      <w:bidi w:val="0"/>
      <w:spacing w:before="0" w:after="0"/>
      <w:jc w:val="left"/>
    </w:pPr>
    <w:rPr>
      <w:rFonts w:ascii="Times New Roman" w:hAnsi="Times New Roman" w:eastAsia="Calibri" w:cs="Times New Roman"/>
      <w:color w:val="auto"/>
      <w:kern w:val="0"/>
      <w:sz w:val="24"/>
      <w:szCs w:val="24"/>
      <w:lang w:val="en-GB" w:eastAsia="en-US" w:bidi="ar-SA"/>
    </w:rPr>
  </w:style>
  <w:style w:type="paragraph" w:styleId="TableHeading">
    <w:name w:val="Table Heading"/>
    <w:basedOn w:val="TableContents"/>
    <w:qFormat/>
    <w:pPr>
      <w:suppressLineNumbers/>
      <w:jc w:val="center"/>
    </w:pPr>
    <w:rPr>
      <w:b/>
      <w:bCs/>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484d2f"/>
    <w:rPr>
      <w:rFonts w:eastAsiaTheme="minorHAnsi"/>
      <w:sz w:val="22"/>
      <w:szCs w:val="22"/>
      <w:lang w:val="en-GB"/>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diagramData" Target="diagrams/data3.xml"/><Relationship Id="rId4" Type="http://schemas.openxmlformats.org/officeDocument/2006/relationships/diagramLayout" Target="diagrams/layout3.xml"/><Relationship Id="rId5" Type="http://schemas.openxmlformats.org/officeDocument/2006/relationships/diagramQuickStyle" Target="diagrams/quickStyle3.xml"/><Relationship Id="rId6" Type="http://schemas.openxmlformats.org/officeDocument/2006/relationships/diagramColors" Target="diagrams/colors3.xml"/><Relationship Id="rId7" Type="http://schemas.microsoft.com/office/2007/relationships/diagramDrawing" Target="diagrams/drawing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3.xml><?xml version="1.0" encoding="utf-8"?>
<dgm:dataModel xmlns:dgm="http://schemas.openxmlformats.org/drawingml/2006/diagram" xmlns:a="http://schemas.openxmlformats.org/drawingml/2006/main">
  <dgm:ptLst>
    <dgm:pt modelId="{D32FA10F-5D40-AD46-817B-38FB52940872}" type="doc">
      <dgm:prSet loTypeId="urn:microsoft.com/office/officeart/2008/layout/NameandTitleOrganizationalChart" loCatId="" qsTypeId="urn:microsoft.com/office/officeart/2005/8/quickstyle/simple4" qsCatId="simple" csTypeId="urn:microsoft.com/office/officeart/2005/8/colors/accent1_2" csCatId="accent1" phldr="1"/>
      <dgm:spPr/>
      <dgm:t>
        <a:bodyPr/>
        <a:lstStyle/>
        <a:p>
          <a:endParaRPr lang="en-US"/>
        </a:p>
      </dgm:t>
    </dgm:pt>
    <dgm:pt modelId="{45E82DC4-7D59-3748-9AFF-8C68AA3E6932}">
      <dgm:prSet phldrT="[Text]"/>
      <dgm:spPr/>
      <dgm:t>
        <a:bodyPr/>
        <a:lstStyle/>
        <a:p>
          <a:r>
            <a:rPr lang="en-US"/>
            <a:t>Head of Department</a:t>
          </a:r>
        </a:p>
      </dgm:t>
    </dgm:pt>
    <dgm:pt modelId="{36F2B20B-2A57-E14F-8DB0-AF2075286A1E}" type="parTrans" cxnId="{F27F203D-A815-CA4C-9798-C495BCCC85D0}">
      <dgm:prSet/>
      <dgm:spPr/>
      <dgm:t>
        <a:bodyPr/>
        <a:lstStyle/>
        <a:p>
          <a:endParaRPr lang="en-US"/>
        </a:p>
      </dgm:t>
    </dgm:pt>
    <dgm:pt modelId="{9B924F24-CD7B-4844-8415-4F088859F55E}" type="sibTrans" cxnId="{F27F203D-A815-CA4C-9798-C495BCCC85D0}">
      <dgm:prSet/>
      <dgm:spPr/>
      <dgm:t>
        <a:bodyPr/>
        <a:lstStyle/>
        <a:p>
          <a:endParaRPr lang="en-US"/>
        </a:p>
      </dgm:t>
    </dgm:pt>
    <dgm:pt modelId="{EA6F9ABA-15ED-184E-BAEF-54B9A99DED80}" type="asst">
      <dgm:prSet phldrT="[Text]"/>
      <dgm:spPr/>
      <dgm:t>
        <a:bodyPr/>
        <a:lstStyle/>
        <a:p>
          <a:r>
            <a:rPr lang="en-US"/>
            <a:t>Departmental Board</a:t>
          </a:r>
        </a:p>
      </dgm:t>
    </dgm:pt>
    <dgm:pt modelId="{147D51BF-10C8-9249-BA5E-5C433B1CCED1}" type="parTrans" cxnId="{3C5E72E5-0A51-EF48-8A13-C7FE3F31BB2F}">
      <dgm:prSet/>
      <dgm:spPr/>
      <dgm:t>
        <a:bodyPr/>
        <a:lstStyle/>
        <a:p>
          <a:endParaRPr lang="en-US"/>
        </a:p>
      </dgm:t>
    </dgm:pt>
    <dgm:pt modelId="{E426A6EE-66F1-F54B-B9F5-CCCE3C832643}" type="sibTrans" cxnId="{3C5E72E5-0A51-EF48-8A13-C7FE3F31BB2F}">
      <dgm:prSet/>
      <dgm:spPr/>
      <dgm:t>
        <a:bodyPr/>
        <a:lstStyle/>
        <a:p>
          <a:endParaRPr lang="en-US"/>
        </a:p>
      </dgm:t>
    </dgm:pt>
    <dgm:pt modelId="{F67AC132-B5FA-484F-8A9B-768167B039D4}">
      <dgm:prSet phldrT="[Text]"/>
      <dgm:spPr/>
      <dgm:t>
        <a:bodyPr/>
        <a:lstStyle/>
        <a:p>
          <a:r>
            <a:rPr lang="en-US"/>
            <a:t>Admin Officer</a:t>
          </a:r>
        </a:p>
        <a:p>
          <a:r>
            <a:rPr lang="en-US"/>
            <a:t>Clerical Officer</a:t>
          </a:r>
        </a:p>
        <a:p>
          <a:r>
            <a:rPr lang="en-US"/>
            <a:t>Computer Operator</a:t>
          </a:r>
        </a:p>
        <a:p>
          <a:r>
            <a:rPr lang="en-US"/>
            <a:t>Messenger</a:t>
          </a:r>
        </a:p>
        <a:p>
          <a:r>
            <a:rPr lang="en-US"/>
            <a:t>Head Cleaner</a:t>
          </a:r>
        </a:p>
      </dgm:t>
    </dgm:pt>
    <dgm:pt modelId="{BB6683A1-413F-B34D-B48A-4CBABCAABE48}" type="parTrans" cxnId="{BE51F61C-39AD-7746-B95D-82760ECB988B}">
      <dgm:prSet/>
      <dgm:spPr/>
      <dgm:t>
        <a:bodyPr/>
        <a:lstStyle/>
        <a:p>
          <a:endParaRPr lang="en-US"/>
        </a:p>
      </dgm:t>
    </dgm:pt>
    <dgm:pt modelId="{9E7E153F-0154-C742-9F52-14DB48F0F030}" type="sibTrans" cxnId="{BE51F61C-39AD-7746-B95D-82760ECB988B}">
      <dgm:prSet/>
      <dgm:spPr/>
      <dgm:t>
        <a:bodyPr/>
        <a:lstStyle/>
        <a:p>
          <a:endParaRPr lang="en-US"/>
        </a:p>
      </dgm:t>
    </dgm:pt>
    <dgm:pt modelId="{D9BD3CED-C935-6742-B0DD-41173D95766B}">
      <dgm:prSet phldrT="[Text]"/>
      <dgm:spPr/>
      <dgm:t>
        <a:bodyPr/>
        <a:lstStyle/>
        <a:p>
          <a:r>
            <a:rPr lang="en-US"/>
            <a:t>Academic Satff</a:t>
          </a:r>
        </a:p>
      </dgm:t>
    </dgm:pt>
    <dgm:pt modelId="{A72C5E92-0F8F-624C-9CEF-7B0683E12656}" type="parTrans" cxnId="{08095D57-E75D-8E4F-A9EE-AB7418476E7C}">
      <dgm:prSet/>
      <dgm:spPr/>
      <dgm:t>
        <a:bodyPr/>
        <a:lstStyle/>
        <a:p>
          <a:endParaRPr lang="en-US"/>
        </a:p>
      </dgm:t>
    </dgm:pt>
    <dgm:pt modelId="{26BCB96E-BF3E-9F4E-B801-D85FDFB9FE7F}" type="sibTrans" cxnId="{08095D57-E75D-8E4F-A9EE-AB7418476E7C}">
      <dgm:prSet/>
      <dgm:spPr/>
      <dgm:t>
        <a:bodyPr/>
        <a:lstStyle/>
        <a:p>
          <a:endParaRPr lang="en-US"/>
        </a:p>
      </dgm:t>
    </dgm:pt>
    <dgm:pt modelId="{AF301985-149E-B54B-9FAA-AF6A34D712DC}">
      <dgm:prSet phldrT="[Text]"/>
      <dgm:spPr/>
      <dgm:t>
        <a:bodyPr/>
        <a:lstStyle/>
        <a:p>
          <a:r>
            <a:rPr lang="en-US"/>
            <a:t>Departmental Committes</a:t>
          </a:r>
        </a:p>
      </dgm:t>
    </dgm:pt>
    <dgm:pt modelId="{2D7CEC64-3789-0F43-A983-4CB070E97EC6}" type="parTrans" cxnId="{8C2E8C77-F65B-8942-B6C2-507DA41ADA52}">
      <dgm:prSet/>
      <dgm:spPr/>
      <dgm:t>
        <a:bodyPr/>
        <a:lstStyle/>
        <a:p>
          <a:endParaRPr lang="en-US"/>
        </a:p>
      </dgm:t>
    </dgm:pt>
    <dgm:pt modelId="{AD5297FE-F5C4-E84E-8EB2-8D1FE2C2C035}" type="sibTrans" cxnId="{8C2E8C77-F65B-8942-B6C2-507DA41ADA52}">
      <dgm:prSet/>
      <dgm:spPr/>
      <dgm:t>
        <a:bodyPr/>
        <a:lstStyle/>
        <a:p>
          <a:endParaRPr lang="en-US"/>
        </a:p>
      </dgm:t>
    </dgm:pt>
    <dgm:pt modelId="{B102B570-AF30-9146-911C-E61C5D241C89}">
      <dgm:prSet/>
      <dgm:spPr/>
      <dgm:t>
        <a:bodyPr/>
        <a:lstStyle/>
        <a:p>
          <a:r>
            <a:rPr lang="en-US"/>
            <a:t>Secretariat</a:t>
          </a:r>
        </a:p>
      </dgm:t>
    </dgm:pt>
    <dgm:pt modelId="{C628FAB1-457A-BA48-9C7E-C630C99D4383}" type="parTrans" cxnId="{723451AA-D72A-9D4A-AA27-83DBBA1ADB00}">
      <dgm:prSet/>
      <dgm:spPr/>
      <dgm:t>
        <a:bodyPr/>
        <a:lstStyle/>
        <a:p>
          <a:endParaRPr lang="en-US"/>
        </a:p>
      </dgm:t>
    </dgm:pt>
    <dgm:pt modelId="{04921015-AA23-054A-840B-ED4539B44247}" type="sibTrans" cxnId="{723451AA-D72A-9D4A-AA27-83DBBA1ADB00}">
      <dgm:prSet/>
      <dgm:spPr/>
      <dgm:t>
        <a:bodyPr/>
        <a:lstStyle/>
        <a:p>
          <a:r>
            <a:rPr lang="en-US"/>
            <a:t>Departmental Secretary</a:t>
          </a:r>
        </a:p>
      </dgm:t>
    </dgm:pt>
    <dgm:pt modelId="{70DA1827-C95C-BB4D-87E0-EB7836612492}">
      <dgm:prSet/>
      <dgm:spPr/>
      <dgm:t>
        <a:bodyPr/>
        <a:lstStyle/>
        <a:p>
          <a:r>
            <a:rPr lang="en-US"/>
            <a:t>Professor</a:t>
          </a:r>
        </a:p>
        <a:p>
          <a:r>
            <a:rPr lang="en-US"/>
            <a:t>Associate Professor</a:t>
          </a:r>
        </a:p>
        <a:p>
          <a:r>
            <a:rPr lang="en-US"/>
            <a:t>Senior Lecturer</a:t>
          </a:r>
        </a:p>
        <a:p>
          <a:r>
            <a:rPr lang="en-US"/>
            <a:t>Lecturer I</a:t>
          </a:r>
        </a:p>
        <a:p>
          <a:r>
            <a:rPr lang="en-US"/>
            <a:t>Lecturer II</a:t>
          </a:r>
        </a:p>
        <a:p>
          <a:r>
            <a:rPr lang="en-US"/>
            <a:t>Assitant Lecturer</a:t>
          </a:r>
        </a:p>
        <a:p>
          <a:r>
            <a:rPr lang="en-US"/>
            <a:t>Graduate Assistant</a:t>
          </a:r>
        </a:p>
        <a:p>
          <a:endParaRPr lang="en-US"/>
        </a:p>
      </dgm:t>
    </dgm:pt>
    <dgm:pt modelId="{6761E613-E92A-514F-8DDE-057214A8556F}" type="parTrans" cxnId="{BFD1DCEB-36A7-0642-A7C2-3CBC95ED4833}">
      <dgm:prSet/>
      <dgm:spPr/>
      <dgm:t>
        <a:bodyPr/>
        <a:lstStyle/>
        <a:p>
          <a:endParaRPr lang="en-US"/>
        </a:p>
      </dgm:t>
    </dgm:pt>
    <dgm:pt modelId="{51F90DD1-6858-DA48-9D5D-F3531C7B6B75}" type="sibTrans" cxnId="{BFD1DCEB-36A7-0642-A7C2-3CBC95ED4833}">
      <dgm:prSet/>
      <dgm:spPr/>
      <dgm:t>
        <a:bodyPr/>
        <a:lstStyle/>
        <a:p>
          <a:endParaRPr lang="en-US"/>
        </a:p>
      </dgm:t>
    </dgm:pt>
    <dgm:pt modelId="{D6FECA44-07DC-0A45-942B-F164521A9164}">
      <dgm:prSet/>
      <dgm:spPr/>
      <dgm:t>
        <a:bodyPr/>
        <a:lstStyle/>
        <a:p>
          <a:r>
            <a:rPr lang="en-US"/>
            <a:t>Examinations</a:t>
          </a:r>
        </a:p>
        <a:p>
          <a:r>
            <a:rPr lang="en-US"/>
            <a:t>Publocation and Research</a:t>
          </a:r>
        </a:p>
        <a:p>
          <a:r>
            <a:rPr lang="en-US"/>
            <a:t>Grants</a:t>
          </a:r>
        </a:p>
        <a:p>
          <a:r>
            <a:rPr lang="en-US"/>
            <a:t>Budget</a:t>
          </a:r>
        </a:p>
        <a:p>
          <a:r>
            <a:rPr lang="en-US"/>
            <a:t>Time Table</a:t>
          </a:r>
        </a:p>
        <a:p>
          <a:r>
            <a:rPr lang="en-US"/>
            <a:t>Post Graduate</a:t>
          </a:r>
        </a:p>
        <a:p>
          <a:r>
            <a:rPr lang="en-US"/>
            <a:t>Finance</a:t>
          </a:r>
        </a:p>
        <a:p>
          <a:r>
            <a:rPr lang="en-US"/>
            <a:t>Welafare</a:t>
          </a:r>
        </a:p>
      </dgm:t>
    </dgm:pt>
    <dgm:pt modelId="{8CB039ED-8C8A-4942-AC83-B9698DFE31D6}" type="parTrans" cxnId="{78FF8342-16F4-4C4D-A32C-F3EC35CA13DF}">
      <dgm:prSet/>
      <dgm:spPr/>
      <dgm:t>
        <a:bodyPr/>
        <a:lstStyle/>
        <a:p>
          <a:endParaRPr lang="en-US"/>
        </a:p>
      </dgm:t>
    </dgm:pt>
    <dgm:pt modelId="{69A67DF7-E0AC-574B-9E61-A2AE4A12D9C5}" type="sibTrans" cxnId="{78FF8342-16F4-4C4D-A32C-F3EC35CA13DF}">
      <dgm:prSet/>
      <dgm:spPr/>
      <dgm:t>
        <a:bodyPr/>
        <a:lstStyle/>
        <a:p>
          <a:endParaRPr lang="en-US"/>
        </a:p>
      </dgm:t>
    </dgm:pt>
    <dgm:pt modelId="{9384E518-CD66-4840-AB90-13C0C94CFDDB}" type="pres">
      <dgm:prSet presAssocID="{D32FA10F-5D40-AD46-817B-38FB52940872}" presName="hierChild1" presStyleCnt="0">
        <dgm:presLayoutVars>
          <dgm:orgChart val="1"/>
          <dgm:chPref val="1"/>
          <dgm:dir/>
          <dgm:animOne val="branch"/>
          <dgm:animLvl val="lvl"/>
          <dgm:resizeHandles/>
        </dgm:presLayoutVars>
      </dgm:prSet>
      <dgm:spPr/>
    </dgm:pt>
    <dgm:pt modelId="{CF09E2CB-0A3D-BB4D-B2C3-73833BEBBBF5}" type="pres">
      <dgm:prSet presAssocID="{45E82DC4-7D59-3748-9AFF-8C68AA3E6932}" presName="hierRoot1" presStyleCnt="0">
        <dgm:presLayoutVars>
          <dgm:hierBranch val="init"/>
        </dgm:presLayoutVars>
      </dgm:prSet>
      <dgm:spPr/>
    </dgm:pt>
    <dgm:pt modelId="{2DB52B91-4CE2-E043-B010-D033958A7BEB}" type="pres">
      <dgm:prSet presAssocID="{45E82DC4-7D59-3748-9AFF-8C68AA3E6932}" presName="rootComposite1" presStyleCnt="0"/>
      <dgm:spPr/>
    </dgm:pt>
    <dgm:pt modelId="{74B2BAAB-E6AC-0244-B338-8A08A2993D5F}" type="pres">
      <dgm:prSet presAssocID="{45E82DC4-7D59-3748-9AFF-8C68AA3E6932}" presName="rootText1" presStyleLbl="node0" presStyleIdx="0" presStyleCnt="1">
        <dgm:presLayoutVars>
          <dgm:chMax/>
          <dgm:chPref val="3"/>
        </dgm:presLayoutVars>
      </dgm:prSet>
      <dgm:spPr/>
    </dgm:pt>
    <dgm:pt modelId="{7DE735A0-EDAC-0D4E-A7F9-20DB7DA96942}" type="pres">
      <dgm:prSet presAssocID="{45E82DC4-7D59-3748-9AFF-8C68AA3E6932}" presName="titleText1" presStyleLbl="fgAcc0" presStyleIdx="0" presStyleCnt="1">
        <dgm:presLayoutVars>
          <dgm:chMax val="0"/>
          <dgm:chPref val="0"/>
        </dgm:presLayoutVars>
      </dgm:prSet>
      <dgm:spPr/>
    </dgm:pt>
    <dgm:pt modelId="{D6E64EA4-6D67-304D-825B-C340D6778F4C}" type="pres">
      <dgm:prSet presAssocID="{45E82DC4-7D59-3748-9AFF-8C68AA3E6932}" presName="rootConnector1" presStyleLbl="node1" presStyleIdx="0" presStyleCnt="6"/>
      <dgm:spPr/>
    </dgm:pt>
    <dgm:pt modelId="{F5796D2D-1C97-2A4D-B34C-DE638EC3EBD5}" type="pres">
      <dgm:prSet presAssocID="{45E82DC4-7D59-3748-9AFF-8C68AA3E6932}" presName="hierChild2" presStyleCnt="0"/>
      <dgm:spPr/>
    </dgm:pt>
    <dgm:pt modelId="{676D592E-EBA2-CB4F-BEB0-6202B9884E34}" type="pres">
      <dgm:prSet presAssocID="{C628FAB1-457A-BA48-9C7E-C630C99D4383}" presName="Name37" presStyleLbl="parChTrans1D2" presStyleIdx="0" presStyleCnt="4"/>
      <dgm:spPr/>
    </dgm:pt>
    <dgm:pt modelId="{E1F9CBB2-BE2D-E04D-8FAE-575D48046809}" type="pres">
      <dgm:prSet presAssocID="{B102B570-AF30-9146-911C-E61C5D241C89}" presName="hierRoot2" presStyleCnt="0">
        <dgm:presLayoutVars>
          <dgm:hierBranch val="init"/>
        </dgm:presLayoutVars>
      </dgm:prSet>
      <dgm:spPr/>
    </dgm:pt>
    <dgm:pt modelId="{EC4C5828-00BC-3C44-8343-F4537A79C615}" type="pres">
      <dgm:prSet presAssocID="{B102B570-AF30-9146-911C-E61C5D241C89}" presName="rootComposite" presStyleCnt="0"/>
      <dgm:spPr/>
    </dgm:pt>
    <dgm:pt modelId="{63EAD86D-5068-A644-9E3E-DAD4464EC98E}" type="pres">
      <dgm:prSet presAssocID="{B102B570-AF30-9146-911C-E61C5D241C89}" presName="rootText" presStyleLbl="node1" presStyleIdx="0" presStyleCnt="6">
        <dgm:presLayoutVars>
          <dgm:chMax/>
          <dgm:chPref val="3"/>
        </dgm:presLayoutVars>
      </dgm:prSet>
      <dgm:spPr/>
    </dgm:pt>
    <dgm:pt modelId="{774712D3-4275-0748-807F-4806CE374919}" type="pres">
      <dgm:prSet presAssocID="{B102B570-AF30-9146-911C-E61C5D241C89}" presName="titleText2" presStyleLbl="fgAcc1" presStyleIdx="0" presStyleCnt="6">
        <dgm:presLayoutVars>
          <dgm:chMax val="0"/>
          <dgm:chPref val="0"/>
        </dgm:presLayoutVars>
      </dgm:prSet>
      <dgm:spPr/>
    </dgm:pt>
    <dgm:pt modelId="{208CFE87-98E1-E04F-8B15-37D58F676C94}" type="pres">
      <dgm:prSet presAssocID="{B102B570-AF30-9146-911C-E61C5D241C89}" presName="rootConnector" presStyleLbl="node2" presStyleIdx="0" presStyleCnt="0"/>
      <dgm:spPr/>
    </dgm:pt>
    <dgm:pt modelId="{F18D1141-D300-EC44-B199-6DDBE692DEF3}" type="pres">
      <dgm:prSet presAssocID="{B102B570-AF30-9146-911C-E61C5D241C89}" presName="hierChild4" presStyleCnt="0"/>
      <dgm:spPr/>
    </dgm:pt>
    <dgm:pt modelId="{6CF1AB36-0C83-734B-AE0A-65A72DF57DAD}" type="pres">
      <dgm:prSet presAssocID="{BB6683A1-413F-B34D-B48A-4CBABCAABE48}" presName="Name37" presStyleLbl="parChTrans1D3" presStyleIdx="0" presStyleCnt="3"/>
      <dgm:spPr/>
    </dgm:pt>
    <dgm:pt modelId="{C44C9A90-A0F0-BE4D-817C-6F710F1D3157}" type="pres">
      <dgm:prSet presAssocID="{F67AC132-B5FA-484F-8A9B-768167B039D4}" presName="hierRoot2" presStyleCnt="0">
        <dgm:presLayoutVars>
          <dgm:hierBranch val="init"/>
        </dgm:presLayoutVars>
      </dgm:prSet>
      <dgm:spPr/>
    </dgm:pt>
    <dgm:pt modelId="{309D510D-3C8C-A64D-8406-0CC5FB139885}" type="pres">
      <dgm:prSet presAssocID="{F67AC132-B5FA-484F-8A9B-768167B039D4}" presName="rootComposite" presStyleCnt="0"/>
      <dgm:spPr/>
    </dgm:pt>
    <dgm:pt modelId="{A9200435-A8BB-E04C-8C77-8225080CCDE1}" type="pres">
      <dgm:prSet presAssocID="{F67AC132-B5FA-484F-8A9B-768167B039D4}" presName="rootText" presStyleLbl="node1" presStyleIdx="1" presStyleCnt="6">
        <dgm:presLayoutVars>
          <dgm:chMax/>
          <dgm:chPref val="3"/>
        </dgm:presLayoutVars>
      </dgm:prSet>
      <dgm:spPr/>
    </dgm:pt>
    <dgm:pt modelId="{C5CC1943-3AA3-F849-8603-FFF3BA24E2AA}" type="pres">
      <dgm:prSet presAssocID="{F67AC132-B5FA-484F-8A9B-768167B039D4}" presName="titleText2" presStyleLbl="fgAcc1" presStyleIdx="1" presStyleCnt="6">
        <dgm:presLayoutVars>
          <dgm:chMax val="0"/>
          <dgm:chPref val="0"/>
        </dgm:presLayoutVars>
      </dgm:prSet>
      <dgm:spPr/>
    </dgm:pt>
    <dgm:pt modelId="{96FBD9BD-E2CC-A945-BCBC-0E81F1CF033F}" type="pres">
      <dgm:prSet presAssocID="{F67AC132-B5FA-484F-8A9B-768167B039D4}" presName="rootConnector" presStyleLbl="node3" presStyleIdx="0" presStyleCnt="0"/>
      <dgm:spPr/>
    </dgm:pt>
    <dgm:pt modelId="{3C133D8E-8045-3946-845F-649E56FC1AE6}" type="pres">
      <dgm:prSet presAssocID="{F67AC132-B5FA-484F-8A9B-768167B039D4}" presName="hierChild4" presStyleCnt="0"/>
      <dgm:spPr/>
    </dgm:pt>
    <dgm:pt modelId="{0E793282-6CF5-4B42-9948-1DB6041877AE}" type="pres">
      <dgm:prSet presAssocID="{F67AC132-B5FA-484F-8A9B-768167B039D4}" presName="hierChild5" presStyleCnt="0"/>
      <dgm:spPr/>
    </dgm:pt>
    <dgm:pt modelId="{6CEA7FDB-9FA3-0248-87E6-78AE23EC77FF}" type="pres">
      <dgm:prSet presAssocID="{B102B570-AF30-9146-911C-E61C5D241C89}" presName="hierChild5" presStyleCnt="0"/>
      <dgm:spPr/>
    </dgm:pt>
    <dgm:pt modelId="{07F066EC-78AD-E647-98BF-1DC605070229}" type="pres">
      <dgm:prSet presAssocID="{A72C5E92-0F8F-624C-9CEF-7B0683E12656}" presName="Name37" presStyleLbl="parChTrans1D2" presStyleIdx="1" presStyleCnt="4"/>
      <dgm:spPr/>
    </dgm:pt>
    <dgm:pt modelId="{1C8BC3E7-5D17-BB4E-A740-70D9782BC0A7}" type="pres">
      <dgm:prSet presAssocID="{D9BD3CED-C935-6742-B0DD-41173D95766B}" presName="hierRoot2" presStyleCnt="0">
        <dgm:presLayoutVars>
          <dgm:hierBranch val="init"/>
        </dgm:presLayoutVars>
      </dgm:prSet>
      <dgm:spPr/>
    </dgm:pt>
    <dgm:pt modelId="{4FEF1844-68E7-634E-B3EA-F360DAAB2CB6}" type="pres">
      <dgm:prSet presAssocID="{D9BD3CED-C935-6742-B0DD-41173D95766B}" presName="rootComposite" presStyleCnt="0"/>
      <dgm:spPr/>
    </dgm:pt>
    <dgm:pt modelId="{534E7C87-023B-D343-923D-B02B4C6ECF83}" type="pres">
      <dgm:prSet presAssocID="{D9BD3CED-C935-6742-B0DD-41173D95766B}" presName="rootText" presStyleLbl="node1" presStyleIdx="2" presStyleCnt="6">
        <dgm:presLayoutVars>
          <dgm:chMax/>
          <dgm:chPref val="3"/>
        </dgm:presLayoutVars>
      </dgm:prSet>
      <dgm:spPr/>
    </dgm:pt>
    <dgm:pt modelId="{319EC13D-97F8-6049-8B6F-E77C2305EF47}" type="pres">
      <dgm:prSet presAssocID="{D9BD3CED-C935-6742-B0DD-41173D95766B}" presName="titleText2" presStyleLbl="fgAcc1" presStyleIdx="2" presStyleCnt="6">
        <dgm:presLayoutVars>
          <dgm:chMax val="0"/>
          <dgm:chPref val="0"/>
        </dgm:presLayoutVars>
      </dgm:prSet>
      <dgm:spPr/>
    </dgm:pt>
    <dgm:pt modelId="{50E5C334-C8C9-9F4C-AE3B-0BC89DE44946}" type="pres">
      <dgm:prSet presAssocID="{D9BD3CED-C935-6742-B0DD-41173D95766B}" presName="rootConnector" presStyleLbl="node2" presStyleIdx="0" presStyleCnt="0"/>
      <dgm:spPr/>
    </dgm:pt>
    <dgm:pt modelId="{A208A900-E625-4841-90FF-9211EA2E27BD}" type="pres">
      <dgm:prSet presAssocID="{D9BD3CED-C935-6742-B0DD-41173D95766B}" presName="hierChild4" presStyleCnt="0"/>
      <dgm:spPr/>
    </dgm:pt>
    <dgm:pt modelId="{953BC30A-1D32-D142-9B3B-6FB4FC893938}" type="pres">
      <dgm:prSet presAssocID="{6761E613-E92A-514F-8DDE-057214A8556F}" presName="Name37" presStyleLbl="parChTrans1D3" presStyleIdx="1" presStyleCnt="3"/>
      <dgm:spPr/>
    </dgm:pt>
    <dgm:pt modelId="{DD39EBD3-202E-7B4D-82B4-4BCF95004967}" type="pres">
      <dgm:prSet presAssocID="{70DA1827-C95C-BB4D-87E0-EB7836612492}" presName="hierRoot2" presStyleCnt="0">
        <dgm:presLayoutVars>
          <dgm:hierBranch val="init"/>
        </dgm:presLayoutVars>
      </dgm:prSet>
      <dgm:spPr/>
    </dgm:pt>
    <dgm:pt modelId="{521E0A4B-837F-F649-B69E-2D791C52272F}" type="pres">
      <dgm:prSet presAssocID="{70DA1827-C95C-BB4D-87E0-EB7836612492}" presName="rootComposite" presStyleCnt="0"/>
      <dgm:spPr/>
    </dgm:pt>
    <dgm:pt modelId="{2FE23783-FCD0-6D44-A232-EDBCCEA9745F}" type="pres">
      <dgm:prSet presAssocID="{70DA1827-C95C-BB4D-87E0-EB7836612492}" presName="rootText" presStyleLbl="node1" presStyleIdx="3" presStyleCnt="6">
        <dgm:presLayoutVars>
          <dgm:chMax/>
          <dgm:chPref val="3"/>
        </dgm:presLayoutVars>
      </dgm:prSet>
      <dgm:spPr/>
    </dgm:pt>
    <dgm:pt modelId="{1C0A6843-FC92-D146-85D4-8DD9E35070AE}" type="pres">
      <dgm:prSet presAssocID="{70DA1827-C95C-BB4D-87E0-EB7836612492}" presName="titleText2" presStyleLbl="fgAcc1" presStyleIdx="3" presStyleCnt="6">
        <dgm:presLayoutVars>
          <dgm:chMax val="0"/>
          <dgm:chPref val="0"/>
        </dgm:presLayoutVars>
      </dgm:prSet>
      <dgm:spPr/>
    </dgm:pt>
    <dgm:pt modelId="{E7ED1956-8FA1-A04E-8E52-E90B6F899671}" type="pres">
      <dgm:prSet presAssocID="{70DA1827-C95C-BB4D-87E0-EB7836612492}" presName="rootConnector" presStyleLbl="node3" presStyleIdx="0" presStyleCnt="0"/>
      <dgm:spPr/>
    </dgm:pt>
    <dgm:pt modelId="{7AE56A64-2F7B-434F-8CB0-ED3942EC2391}" type="pres">
      <dgm:prSet presAssocID="{70DA1827-C95C-BB4D-87E0-EB7836612492}" presName="hierChild4" presStyleCnt="0"/>
      <dgm:spPr/>
    </dgm:pt>
    <dgm:pt modelId="{3E6692CF-67C3-3B49-B9A1-B990D53B2254}" type="pres">
      <dgm:prSet presAssocID="{70DA1827-C95C-BB4D-87E0-EB7836612492}" presName="hierChild5" presStyleCnt="0"/>
      <dgm:spPr/>
    </dgm:pt>
    <dgm:pt modelId="{C3CA67AB-E52B-EA4B-8D6C-2A94447A4A5B}" type="pres">
      <dgm:prSet presAssocID="{D9BD3CED-C935-6742-B0DD-41173D95766B}" presName="hierChild5" presStyleCnt="0"/>
      <dgm:spPr/>
    </dgm:pt>
    <dgm:pt modelId="{A121D143-2A03-2C45-9652-DD19DE34E92B}" type="pres">
      <dgm:prSet presAssocID="{2D7CEC64-3789-0F43-A983-4CB070E97EC6}" presName="Name37" presStyleLbl="parChTrans1D2" presStyleIdx="2" presStyleCnt="4"/>
      <dgm:spPr/>
    </dgm:pt>
    <dgm:pt modelId="{BCD14EFE-6036-E242-8E13-089CA7C0363D}" type="pres">
      <dgm:prSet presAssocID="{AF301985-149E-B54B-9FAA-AF6A34D712DC}" presName="hierRoot2" presStyleCnt="0">
        <dgm:presLayoutVars>
          <dgm:hierBranch val="init"/>
        </dgm:presLayoutVars>
      </dgm:prSet>
      <dgm:spPr/>
    </dgm:pt>
    <dgm:pt modelId="{8ADC8EC3-02CD-CF4C-9743-A94CD10EB74E}" type="pres">
      <dgm:prSet presAssocID="{AF301985-149E-B54B-9FAA-AF6A34D712DC}" presName="rootComposite" presStyleCnt="0"/>
      <dgm:spPr/>
    </dgm:pt>
    <dgm:pt modelId="{F2C54E8E-EC3B-5646-8CE0-00AD5B4FBACC}" type="pres">
      <dgm:prSet presAssocID="{AF301985-149E-B54B-9FAA-AF6A34D712DC}" presName="rootText" presStyleLbl="node1" presStyleIdx="4" presStyleCnt="6">
        <dgm:presLayoutVars>
          <dgm:chMax/>
          <dgm:chPref val="3"/>
        </dgm:presLayoutVars>
      </dgm:prSet>
      <dgm:spPr/>
    </dgm:pt>
    <dgm:pt modelId="{0675DCFF-049D-1341-BB54-D309C4AB63C8}" type="pres">
      <dgm:prSet presAssocID="{AF301985-149E-B54B-9FAA-AF6A34D712DC}" presName="titleText2" presStyleLbl="fgAcc1" presStyleIdx="4" presStyleCnt="6">
        <dgm:presLayoutVars>
          <dgm:chMax val="0"/>
          <dgm:chPref val="0"/>
        </dgm:presLayoutVars>
      </dgm:prSet>
      <dgm:spPr/>
    </dgm:pt>
    <dgm:pt modelId="{58B36BF5-5268-F64D-9ACC-36340AEABC4D}" type="pres">
      <dgm:prSet presAssocID="{AF301985-149E-B54B-9FAA-AF6A34D712DC}" presName="rootConnector" presStyleLbl="node2" presStyleIdx="0" presStyleCnt="0"/>
      <dgm:spPr/>
    </dgm:pt>
    <dgm:pt modelId="{E3F5BEBC-366C-654A-A6EB-289B6A1779DF}" type="pres">
      <dgm:prSet presAssocID="{AF301985-149E-B54B-9FAA-AF6A34D712DC}" presName="hierChild4" presStyleCnt="0"/>
      <dgm:spPr/>
    </dgm:pt>
    <dgm:pt modelId="{FD512F57-DF1E-1E45-ACC1-CDC4319087EF}" type="pres">
      <dgm:prSet presAssocID="{8CB039ED-8C8A-4942-AC83-B9698DFE31D6}" presName="Name37" presStyleLbl="parChTrans1D3" presStyleIdx="2" presStyleCnt="3"/>
      <dgm:spPr/>
    </dgm:pt>
    <dgm:pt modelId="{3FFFA93B-5152-8346-9718-746AC0BFE2B8}" type="pres">
      <dgm:prSet presAssocID="{D6FECA44-07DC-0A45-942B-F164521A9164}" presName="hierRoot2" presStyleCnt="0">
        <dgm:presLayoutVars>
          <dgm:hierBranch val="init"/>
        </dgm:presLayoutVars>
      </dgm:prSet>
      <dgm:spPr/>
    </dgm:pt>
    <dgm:pt modelId="{1FDCF180-B9D3-D247-A2F3-4BC0317A4D05}" type="pres">
      <dgm:prSet presAssocID="{D6FECA44-07DC-0A45-942B-F164521A9164}" presName="rootComposite" presStyleCnt="0"/>
      <dgm:spPr/>
    </dgm:pt>
    <dgm:pt modelId="{8707A031-F448-944F-9633-AEBE561525B6}" type="pres">
      <dgm:prSet presAssocID="{D6FECA44-07DC-0A45-942B-F164521A9164}" presName="rootText" presStyleLbl="node1" presStyleIdx="5" presStyleCnt="6">
        <dgm:presLayoutVars>
          <dgm:chMax/>
          <dgm:chPref val="3"/>
        </dgm:presLayoutVars>
      </dgm:prSet>
      <dgm:spPr/>
    </dgm:pt>
    <dgm:pt modelId="{2AC1C034-2A72-E142-980D-6C8B43C50122}" type="pres">
      <dgm:prSet presAssocID="{D6FECA44-07DC-0A45-942B-F164521A9164}" presName="titleText2" presStyleLbl="fgAcc1" presStyleIdx="5" presStyleCnt="6" custFlipVert="0" custFlipHor="0" custScaleX="121207" custScaleY="76509" custLinFactY="200000" custLinFactNeighborX="5896" custLinFactNeighborY="212013">
        <dgm:presLayoutVars>
          <dgm:chMax val="0"/>
          <dgm:chPref val="0"/>
        </dgm:presLayoutVars>
      </dgm:prSet>
      <dgm:spPr/>
    </dgm:pt>
    <dgm:pt modelId="{38CBFE1C-B605-284E-8EF1-FB0A706FF17F}" type="pres">
      <dgm:prSet presAssocID="{D6FECA44-07DC-0A45-942B-F164521A9164}" presName="rootConnector" presStyleLbl="node3" presStyleIdx="0" presStyleCnt="0"/>
      <dgm:spPr/>
    </dgm:pt>
    <dgm:pt modelId="{5AA8A3EC-87C0-E748-809B-5D9F6EF202B7}" type="pres">
      <dgm:prSet presAssocID="{D6FECA44-07DC-0A45-942B-F164521A9164}" presName="hierChild4" presStyleCnt="0"/>
      <dgm:spPr/>
    </dgm:pt>
    <dgm:pt modelId="{141AFD7E-5C5E-7D42-A295-C8F370DBD3D3}" type="pres">
      <dgm:prSet presAssocID="{D6FECA44-07DC-0A45-942B-F164521A9164}" presName="hierChild5" presStyleCnt="0"/>
      <dgm:spPr/>
    </dgm:pt>
    <dgm:pt modelId="{7678F1E4-749B-044D-A6C7-18ABCC1B8751}" type="pres">
      <dgm:prSet presAssocID="{AF301985-149E-B54B-9FAA-AF6A34D712DC}" presName="hierChild5" presStyleCnt="0"/>
      <dgm:spPr/>
    </dgm:pt>
    <dgm:pt modelId="{A5AF3903-2E9F-E143-B406-DCD839CA8ACB}" type="pres">
      <dgm:prSet presAssocID="{45E82DC4-7D59-3748-9AFF-8C68AA3E6932}" presName="hierChild3" presStyleCnt="0"/>
      <dgm:spPr/>
    </dgm:pt>
    <dgm:pt modelId="{BF7C6D87-A8B4-C24E-B4C2-9B126E2E7DC7}" type="pres">
      <dgm:prSet presAssocID="{147D51BF-10C8-9249-BA5E-5C433B1CCED1}" presName="Name96" presStyleLbl="parChTrans1D2" presStyleIdx="3" presStyleCnt="4"/>
      <dgm:spPr/>
    </dgm:pt>
    <dgm:pt modelId="{D0AB8B52-2928-594C-8619-E8ACCF5699E7}" type="pres">
      <dgm:prSet presAssocID="{EA6F9ABA-15ED-184E-BAEF-54B9A99DED80}" presName="hierRoot3" presStyleCnt="0">
        <dgm:presLayoutVars>
          <dgm:hierBranch val="init"/>
        </dgm:presLayoutVars>
      </dgm:prSet>
      <dgm:spPr/>
    </dgm:pt>
    <dgm:pt modelId="{F77ECE8E-D646-AF45-894F-8AF3B63C2A4F}" type="pres">
      <dgm:prSet presAssocID="{EA6F9ABA-15ED-184E-BAEF-54B9A99DED80}" presName="rootComposite3" presStyleCnt="0"/>
      <dgm:spPr/>
    </dgm:pt>
    <dgm:pt modelId="{39C89593-A2B9-4B4E-B8EA-65C88E919D7D}" type="pres">
      <dgm:prSet presAssocID="{EA6F9ABA-15ED-184E-BAEF-54B9A99DED80}" presName="rootText3" presStyleLbl="asst1" presStyleIdx="0" presStyleCnt="1">
        <dgm:presLayoutVars>
          <dgm:chPref val="3"/>
        </dgm:presLayoutVars>
      </dgm:prSet>
      <dgm:spPr/>
    </dgm:pt>
    <dgm:pt modelId="{21435BB0-2023-2C49-9AF8-69E733BC1F0C}" type="pres">
      <dgm:prSet presAssocID="{EA6F9ABA-15ED-184E-BAEF-54B9A99DED80}" presName="titleText3" presStyleLbl="fgAcc2" presStyleIdx="0" presStyleCnt="1">
        <dgm:presLayoutVars>
          <dgm:chMax val="0"/>
          <dgm:chPref val="0"/>
        </dgm:presLayoutVars>
      </dgm:prSet>
      <dgm:spPr/>
    </dgm:pt>
    <dgm:pt modelId="{55BCB0D9-54D5-3F4A-8F41-14AEE824F84C}" type="pres">
      <dgm:prSet presAssocID="{EA6F9ABA-15ED-184E-BAEF-54B9A99DED80}" presName="rootConnector3" presStyleLbl="asst1" presStyleIdx="0" presStyleCnt="1"/>
      <dgm:spPr/>
    </dgm:pt>
    <dgm:pt modelId="{D35AA795-70ED-9D45-925F-FD09DD6D9AAC}" type="pres">
      <dgm:prSet presAssocID="{EA6F9ABA-15ED-184E-BAEF-54B9A99DED80}" presName="hierChild6" presStyleCnt="0"/>
      <dgm:spPr/>
    </dgm:pt>
    <dgm:pt modelId="{034B5562-0D7A-B047-AF81-EC8D9D79A6C7}" type="pres">
      <dgm:prSet presAssocID="{EA6F9ABA-15ED-184E-BAEF-54B9A99DED80}" presName="hierChild7" presStyleCnt="0"/>
      <dgm:spPr/>
    </dgm:pt>
  </dgm:ptLst>
  <dgm:cxnLst>
    <dgm:cxn modelId="{10379004-B4C7-AC4D-AAA0-D349AC9690B5}" type="presOf" srcId="{70DA1827-C95C-BB4D-87E0-EB7836612492}" destId="{2FE23783-FCD0-6D44-A232-EDBCCEA9745F}" srcOrd="0" destOrd="0" presId="urn:microsoft.com/office/officeart/2008/layout/NameandTitleOrganizationalChart"/>
    <dgm:cxn modelId="{8F685406-23CA-8149-B382-B532CDDAFC10}" type="presOf" srcId="{6761E613-E92A-514F-8DDE-057214A8556F}" destId="{953BC30A-1D32-D142-9B3B-6FB4FC893938}" srcOrd="0" destOrd="0" presId="urn:microsoft.com/office/officeart/2008/layout/NameandTitleOrganizationalChart"/>
    <dgm:cxn modelId="{91A32119-5E91-334E-9399-F56F43072739}" type="presOf" srcId="{F67AC132-B5FA-484F-8A9B-768167B039D4}" destId="{A9200435-A8BB-E04C-8C77-8225080CCDE1}" srcOrd="0" destOrd="0" presId="urn:microsoft.com/office/officeart/2008/layout/NameandTitleOrganizationalChart"/>
    <dgm:cxn modelId="{980E481C-ABE3-9A47-B69A-8BA3CB286F5D}" type="presOf" srcId="{04921015-AA23-054A-840B-ED4539B44247}" destId="{774712D3-4275-0748-807F-4806CE374919}" srcOrd="0" destOrd="0" presId="urn:microsoft.com/office/officeart/2008/layout/NameandTitleOrganizationalChart"/>
    <dgm:cxn modelId="{BE51F61C-39AD-7746-B95D-82760ECB988B}" srcId="{B102B570-AF30-9146-911C-E61C5D241C89}" destId="{F67AC132-B5FA-484F-8A9B-768167B039D4}" srcOrd="0" destOrd="0" parTransId="{BB6683A1-413F-B34D-B48A-4CBABCAABE48}" sibTransId="{9E7E153F-0154-C742-9F52-14DB48F0F030}"/>
    <dgm:cxn modelId="{3E3CAA25-61C0-A845-9A67-AAF1C16C82A8}" type="presOf" srcId="{51F90DD1-6858-DA48-9D5D-F3531C7B6B75}" destId="{1C0A6843-FC92-D146-85D4-8DD9E35070AE}" srcOrd="0" destOrd="0" presId="urn:microsoft.com/office/officeart/2008/layout/NameandTitleOrganizationalChart"/>
    <dgm:cxn modelId="{F27F203D-A815-CA4C-9798-C495BCCC85D0}" srcId="{D32FA10F-5D40-AD46-817B-38FB52940872}" destId="{45E82DC4-7D59-3748-9AFF-8C68AA3E6932}" srcOrd="0" destOrd="0" parTransId="{36F2B20B-2A57-E14F-8DB0-AF2075286A1E}" sibTransId="{9B924F24-CD7B-4844-8415-4F088859F55E}"/>
    <dgm:cxn modelId="{4A5A415C-549D-8342-8852-3CE0C2ACCB07}" type="presOf" srcId="{D6FECA44-07DC-0A45-942B-F164521A9164}" destId="{8707A031-F448-944F-9633-AEBE561525B6}" srcOrd="0" destOrd="0" presId="urn:microsoft.com/office/officeart/2008/layout/NameandTitleOrganizationalChart"/>
    <dgm:cxn modelId="{24BE1D60-92EB-4543-B0CF-25735F7100CC}" type="presOf" srcId="{D32FA10F-5D40-AD46-817B-38FB52940872}" destId="{9384E518-CD66-4840-AB90-13C0C94CFDDB}" srcOrd="0" destOrd="0" presId="urn:microsoft.com/office/officeart/2008/layout/NameandTitleOrganizationalChart"/>
    <dgm:cxn modelId="{78FF8342-16F4-4C4D-A32C-F3EC35CA13DF}" srcId="{AF301985-149E-B54B-9FAA-AF6A34D712DC}" destId="{D6FECA44-07DC-0A45-942B-F164521A9164}" srcOrd="0" destOrd="0" parTransId="{8CB039ED-8C8A-4942-AC83-B9698DFE31D6}" sibTransId="{69A67DF7-E0AC-574B-9E61-A2AE4A12D9C5}"/>
    <dgm:cxn modelId="{0894BE43-89BA-694C-BB48-FDA557887AB5}" type="presOf" srcId="{9E7E153F-0154-C742-9F52-14DB48F0F030}" destId="{C5CC1943-3AA3-F849-8603-FFF3BA24E2AA}" srcOrd="0" destOrd="0" presId="urn:microsoft.com/office/officeart/2008/layout/NameandTitleOrganizationalChart"/>
    <dgm:cxn modelId="{50F61145-205C-3E4B-9392-6B0B9EC43871}" type="presOf" srcId="{AF301985-149E-B54B-9FAA-AF6A34D712DC}" destId="{F2C54E8E-EC3B-5646-8CE0-00AD5B4FBACC}" srcOrd="0" destOrd="0" presId="urn:microsoft.com/office/officeart/2008/layout/NameandTitleOrganizationalChart"/>
    <dgm:cxn modelId="{F44EE166-1EDE-F343-91A9-10EEF18A0E2F}" type="presOf" srcId="{26BCB96E-BF3E-9F4E-B801-D85FDFB9FE7F}" destId="{319EC13D-97F8-6049-8B6F-E77C2305EF47}" srcOrd="0" destOrd="0" presId="urn:microsoft.com/office/officeart/2008/layout/NameandTitleOrganizationalChart"/>
    <dgm:cxn modelId="{86116868-4B27-BD4C-AC44-7A6172AA115D}" type="presOf" srcId="{AF301985-149E-B54B-9FAA-AF6A34D712DC}" destId="{58B36BF5-5268-F64D-9ACC-36340AEABC4D}" srcOrd="1" destOrd="0" presId="urn:microsoft.com/office/officeart/2008/layout/NameandTitleOrganizationalChart"/>
    <dgm:cxn modelId="{F0437768-6C62-544E-A5DA-F451D675CE46}" type="presOf" srcId="{C628FAB1-457A-BA48-9C7E-C630C99D4383}" destId="{676D592E-EBA2-CB4F-BEB0-6202B9884E34}" srcOrd="0" destOrd="0" presId="urn:microsoft.com/office/officeart/2008/layout/NameandTitleOrganizationalChart"/>
    <dgm:cxn modelId="{B2E0D74F-6EB9-EE4A-9A80-DE8DE8F2081A}" type="presOf" srcId="{D6FECA44-07DC-0A45-942B-F164521A9164}" destId="{38CBFE1C-B605-284E-8EF1-FB0A706FF17F}" srcOrd="1" destOrd="0" presId="urn:microsoft.com/office/officeart/2008/layout/NameandTitleOrganizationalChart"/>
    <dgm:cxn modelId="{0C8A0655-451D-FF4C-AA6C-02DA16ABA970}" type="presOf" srcId="{B102B570-AF30-9146-911C-E61C5D241C89}" destId="{63EAD86D-5068-A644-9E3E-DAD4464EC98E}" srcOrd="0" destOrd="0" presId="urn:microsoft.com/office/officeart/2008/layout/NameandTitleOrganizationalChart"/>
    <dgm:cxn modelId="{08095D57-E75D-8E4F-A9EE-AB7418476E7C}" srcId="{45E82DC4-7D59-3748-9AFF-8C68AA3E6932}" destId="{D9BD3CED-C935-6742-B0DD-41173D95766B}" srcOrd="2" destOrd="0" parTransId="{A72C5E92-0F8F-624C-9CEF-7B0683E12656}" sibTransId="{26BCB96E-BF3E-9F4E-B801-D85FDFB9FE7F}"/>
    <dgm:cxn modelId="{8C2E8C77-F65B-8942-B6C2-507DA41ADA52}" srcId="{45E82DC4-7D59-3748-9AFF-8C68AA3E6932}" destId="{AF301985-149E-B54B-9FAA-AF6A34D712DC}" srcOrd="3" destOrd="0" parTransId="{2D7CEC64-3789-0F43-A983-4CB070E97EC6}" sibTransId="{AD5297FE-F5C4-E84E-8EB2-8D1FE2C2C035}"/>
    <dgm:cxn modelId="{7ABA3479-648D-1C44-B429-34AEE004C270}" type="presOf" srcId="{2D7CEC64-3789-0F43-A983-4CB070E97EC6}" destId="{A121D143-2A03-2C45-9652-DD19DE34E92B}" srcOrd="0" destOrd="0" presId="urn:microsoft.com/office/officeart/2008/layout/NameandTitleOrganizationalChart"/>
    <dgm:cxn modelId="{6D52F97F-12B3-D14A-85AF-60B2234758B3}" type="presOf" srcId="{E426A6EE-66F1-F54B-B9F5-CCCE3C832643}" destId="{21435BB0-2023-2C49-9AF8-69E733BC1F0C}" srcOrd="0" destOrd="0" presId="urn:microsoft.com/office/officeart/2008/layout/NameandTitleOrganizationalChart"/>
    <dgm:cxn modelId="{2DD14C80-9E8B-6641-B3B3-32344A7074DD}" type="presOf" srcId="{EA6F9ABA-15ED-184E-BAEF-54B9A99DED80}" destId="{55BCB0D9-54D5-3F4A-8F41-14AEE824F84C}" srcOrd="1" destOrd="0" presId="urn:microsoft.com/office/officeart/2008/layout/NameandTitleOrganizationalChart"/>
    <dgm:cxn modelId="{FDEF2587-2674-F844-B64E-E1F4D2D9BAFC}" type="presOf" srcId="{45E82DC4-7D59-3748-9AFF-8C68AA3E6932}" destId="{D6E64EA4-6D67-304D-825B-C340D6778F4C}" srcOrd="1" destOrd="0" presId="urn:microsoft.com/office/officeart/2008/layout/NameandTitleOrganizationalChart"/>
    <dgm:cxn modelId="{A3728791-24FE-7C45-8C79-E7C6356E96A2}" type="presOf" srcId="{F67AC132-B5FA-484F-8A9B-768167B039D4}" destId="{96FBD9BD-E2CC-A945-BCBC-0E81F1CF033F}" srcOrd="1" destOrd="0" presId="urn:microsoft.com/office/officeart/2008/layout/NameandTitleOrganizationalChart"/>
    <dgm:cxn modelId="{2F299396-9949-1140-8760-D209CA37A8B5}" type="presOf" srcId="{BB6683A1-413F-B34D-B48A-4CBABCAABE48}" destId="{6CF1AB36-0C83-734B-AE0A-65A72DF57DAD}" srcOrd="0" destOrd="0" presId="urn:microsoft.com/office/officeart/2008/layout/NameandTitleOrganizationalChart"/>
    <dgm:cxn modelId="{0522879C-4DB1-0245-9AF0-9DFD814A7361}" type="presOf" srcId="{AD5297FE-F5C4-E84E-8EB2-8D1FE2C2C035}" destId="{0675DCFF-049D-1341-BB54-D309C4AB63C8}" srcOrd="0" destOrd="0" presId="urn:microsoft.com/office/officeart/2008/layout/NameandTitleOrganizationalChart"/>
    <dgm:cxn modelId="{013F459D-F6B8-EF4E-8459-62CFC0535F90}" type="presOf" srcId="{A72C5E92-0F8F-624C-9CEF-7B0683E12656}" destId="{07F066EC-78AD-E647-98BF-1DC605070229}" srcOrd="0" destOrd="0" presId="urn:microsoft.com/office/officeart/2008/layout/NameandTitleOrganizationalChart"/>
    <dgm:cxn modelId="{C23FB0A1-778C-954D-92AD-9ED93BD5DA1E}" type="presOf" srcId="{EA6F9ABA-15ED-184E-BAEF-54B9A99DED80}" destId="{39C89593-A2B9-4B4E-B8EA-65C88E919D7D}" srcOrd="0" destOrd="0" presId="urn:microsoft.com/office/officeart/2008/layout/NameandTitleOrganizationalChart"/>
    <dgm:cxn modelId="{723451AA-D72A-9D4A-AA27-83DBBA1ADB00}" srcId="{45E82DC4-7D59-3748-9AFF-8C68AA3E6932}" destId="{B102B570-AF30-9146-911C-E61C5D241C89}" srcOrd="1" destOrd="0" parTransId="{C628FAB1-457A-BA48-9C7E-C630C99D4383}" sibTransId="{04921015-AA23-054A-840B-ED4539B44247}"/>
    <dgm:cxn modelId="{8F89B3AF-ECB9-6344-95F2-88C26FC74E35}" type="presOf" srcId="{70DA1827-C95C-BB4D-87E0-EB7836612492}" destId="{E7ED1956-8FA1-A04E-8E52-E90B6F899671}" srcOrd="1" destOrd="0" presId="urn:microsoft.com/office/officeart/2008/layout/NameandTitleOrganizationalChart"/>
    <dgm:cxn modelId="{DE46C7CA-B7CB-AE4E-BEF4-DDE6A333FADC}" type="presOf" srcId="{147D51BF-10C8-9249-BA5E-5C433B1CCED1}" destId="{BF7C6D87-A8B4-C24E-B4C2-9B126E2E7DC7}" srcOrd="0" destOrd="0" presId="urn:microsoft.com/office/officeart/2008/layout/NameandTitleOrganizationalChart"/>
    <dgm:cxn modelId="{BF22A4D0-9B2F-3346-A9B1-6DF19D98D3B3}" type="presOf" srcId="{69A67DF7-E0AC-574B-9E61-A2AE4A12D9C5}" destId="{2AC1C034-2A72-E142-980D-6C8B43C50122}" srcOrd="0" destOrd="0" presId="urn:microsoft.com/office/officeart/2008/layout/NameandTitleOrganizationalChart"/>
    <dgm:cxn modelId="{E4215DD7-A1E6-0345-B215-7D2CF2CCD46A}" type="presOf" srcId="{D9BD3CED-C935-6742-B0DD-41173D95766B}" destId="{50E5C334-C8C9-9F4C-AE3B-0BC89DE44946}" srcOrd="1" destOrd="0" presId="urn:microsoft.com/office/officeart/2008/layout/NameandTitleOrganizationalChart"/>
    <dgm:cxn modelId="{2026A3E1-0DF8-3444-AB8F-E53FC97A582A}" type="presOf" srcId="{D9BD3CED-C935-6742-B0DD-41173D95766B}" destId="{534E7C87-023B-D343-923D-B02B4C6ECF83}" srcOrd="0" destOrd="0" presId="urn:microsoft.com/office/officeart/2008/layout/NameandTitleOrganizationalChart"/>
    <dgm:cxn modelId="{E995A1E3-96D5-4340-A3EB-88FF0E2D317A}" type="presOf" srcId="{B102B570-AF30-9146-911C-E61C5D241C89}" destId="{208CFE87-98E1-E04F-8B15-37D58F676C94}" srcOrd="1" destOrd="0" presId="urn:microsoft.com/office/officeart/2008/layout/NameandTitleOrganizationalChart"/>
    <dgm:cxn modelId="{3C5E72E5-0A51-EF48-8A13-C7FE3F31BB2F}" srcId="{45E82DC4-7D59-3748-9AFF-8C68AA3E6932}" destId="{EA6F9ABA-15ED-184E-BAEF-54B9A99DED80}" srcOrd="0" destOrd="0" parTransId="{147D51BF-10C8-9249-BA5E-5C433B1CCED1}" sibTransId="{E426A6EE-66F1-F54B-B9F5-CCCE3C832643}"/>
    <dgm:cxn modelId="{BFD1DCEB-36A7-0642-A7C2-3CBC95ED4833}" srcId="{D9BD3CED-C935-6742-B0DD-41173D95766B}" destId="{70DA1827-C95C-BB4D-87E0-EB7836612492}" srcOrd="0" destOrd="0" parTransId="{6761E613-E92A-514F-8DDE-057214A8556F}" sibTransId="{51F90DD1-6858-DA48-9D5D-F3531C7B6B75}"/>
    <dgm:cxn modelId="{11C8F7ED-9EC9-9E4F-BD24-35E5B6264F1C}" type="presOf" srcId="{9B924F24-CD7B-4844-8415-4F088859F55E}" destId="{7DE735A0-EDAC-0D4E-A7F9-20DB7DA96942}" srcOrd="0" destOrd="0" presId="urn:microsoft.com/office/officeart/2008/layout/NameandTitleOrganizationalChart"/>
    <dgm:cxn modelId="{104F8FF3-C293-8B41-B0D7-621FA919A098}" type="presOf" srcId="{45E82DC4-7D59-3748-9AFF-8C68AA3E6932}" destId="{74B2BAAB-E6AC-0244-B338-8A08A2993D5F}" srcOrd="0" destOrd="0" presId="urn:microsoft.com/office/officeart/2008/layout/NameandTitleOrganizationalChart"/>
    <dgm:cxn modelId="{6700C7F9-7727-BA46-948C-A7E224E8B6CE}" type="presOf" srcId="{8CB039ED-8C8A-4942-AC83-B9698DFE31D6}" destId="{FD512F57-DF1E-1E45-ACC1-CDC4319087EF}" srcOrd="0" destOrd="0" presId="urn:microsoft.com/office/officeart/2008/layout/NameandTitleOrganizationalChart"/>
    <dgm:cxn modelId="{265D7672-CB95-8B4B-8A8F-1BC270E8A23B}" type="presParOf" srcId="{9384E518-CD66-4840-AB90-13C0C94CFDDB}" destId="{CF09E2CB-0A3D-BB4D-B2C3-73833BEBBBF5}" srcOrd="0" destOrd="0" presId="urn:microsoft.com/office/officeart/2008/layout/NameandTitleOrganizationalChart"/>
    <dgm:cxn modelId="{D6AA869C-2A60-CF42-9381-CF4135AB92BE}" type="presParOf" srcId="{CF09E2CB-0A3D-BB4D-B2C3-73833BEBBBF5}" destId="{2DB52B91-4CE2-E043-B010-D033958A7BEB}" srcOrd="0" destOrd="0" presId="urn:microsoft.com/office/officeart/2008/layout/NameandTitleOrganizationalChart"/>
    <dgm:cxn modelId="{0001964D-AB7C-4949-9A28-877B38595877}" type="presParOf" srcId="{2DB52B91-4CE2-E043-B010-D033958A7BEB}" destId="{74B2BAAB-E6AC-0244-B338-8A08A2993D5F}" srcOrd="0" destOrd="0" presId="urn:microsoft.com/office/officeart/2008/layout/NameandTitleOrganizationalChart"/>
    <dgm:cxn modelId="{B784087F-4991-BC4E-861D-A813EE814693}" type="presParOf" srcId="{2DB52B91-4CE2-E043-B010-D033958A7BEB}" destId="{7DE735A0-EDAC-0D4E-A7F9-20DB7DA96942}" srcOrd="1" destOrd="0" presId="urn:microsoft.com/office/officeart/2008/layout/NameandTitleOrganizationalChart"/>
    <dgm:cxn modelId="{24492B42-D8B3-0241-A147-8B151F065713}" type="presParOf" srcId="{2DB52B91-4CE2-E043-B010-D033958A7BEB}" destId="{D6E64EA4-6D67-304D-825B-C340D6778F4C}" srcOrd="2" destOrd="0" presId="urn:microsoft.com/office/officeart/2008/layout/NameandTitleOrganizationalChart"/>
    <dgm:cxn modelId="{CC35B904-B17B-E94B-99E5-511B7B8B2677}" type="presParOf" srcId="{CF09E2CB-0A3D-BB4D-B2C3-73833BEBBBF5}" destId="{F5796D2D-1C97-2A4D-B34C-DE638EC3EBD5}" srcOrd="1" destOrd="0" presId="urn:microsoft.com/office/officeart/2008/layout/NameandTitleOrganizationalChart"/>
    <dgm:cxn modelId="{2E32BE8D-9786-3D40-B9F6-53DDEAA9CA6B}" type="presParOf" srcId="{F5796D2D-1C97-2A4D-B34C-DE638EC3EBD5}" destId="{676D592E-EBA2-CB4F-BEB0-6202B9884E34}" srcOrd="0" destOrd="0" presId="urn:microsoft.com/office/officeart/2008/layout/NameandTitleOrganizationalChart"/>
    <dgm:cxn modelId="{3BF14C8D-1A78-FE47-BBCF-123D03BF8410}" type="presParOf" srcId="{F5796D2D-1C97-2A4D-B34C-DE638EC3EBD5}" destId="{E1F9CBB2-BE2D-E04D-8FAE-575D48046809}" srcOrd="1" destOrd="0" presId="urn:microsoft.com/office/officeart/2008/layout/NameandTitleOrganizationalChart"/>
    <dgm:cxn modelId="{F7603447-5A68-584B-9F1C-F6669BFE6F09}" type="presParOf" srcId="{E1F9CBB2-BE2D-E04D-8FAE-575D48046809}" destId="{EC4C5828-00BC-3C44-8343-F4537A79C615}" srcOrd="0" destOrd="0" presId="urn:microsoft.com/office/officeart/2008/layout/NameandTitleOrganizationalChart"/>
    <dgm:cxn modelId="{334FE82A-63AE-E14F-B023-778A24FB6F4E}" type="presParOf" srcId="{EC4C5828-00BC-3C44-8343-F4537A79C615}" destId="{63EAD86D-5068-A644-9E3E-DAD4464EC98E}" srcOrd="0" destOrd="0" presId="urn:microsoft.com/office/officeart/2008/layout/NameandTitleOrganizationalChart"/>
    <dgm:cxn modelId="{E054FAA1-518D-0643-BECE-38CEDEAB0B42}" type="presParOf" srcId="{EC4C5828-00BC-3C44-8343-F4537A79C615}" destId="{774712D3-4275-0748-807F-4806CE374919}" srcOrd="1" destOrd="0" presId="urn:microsoft.com/office/officeart/2008/layout/NameandTitleOrganizationalChart"/>
    <dgm:cxn modelId="{65F63AE4-5A96-D74B-9A0D-68E8C5F89C7A}" type="presParOf" srcId="{EC4C5828-00BC-3C44-8343-F4537A79C615}" destId="{208CFE87-98E1-E04F-8B15-37D58F676C94}" srcOrd="2" destOrd="0" presId="urn:microsoft.com/office/officeart/2008/layout/NameandTitleOrganizationalChart"/>
    <dgm:cxn modelId="{E08B814C-2469-D040-890C-C110CE3D4476}" type="presParOf" srcId="{E1F9CBB2-BE2D-E04D-8FAE-575D48046809}" destId="{F18D1141-D300-EC44-B199-6DDBE692DEF3}" srcOrd="1" destOrd="0" presId="urn:microsoft.com/office/officeart/2008/layout/NameandTitleOrganizationalChart"/>
    <dgm:cxn modelId="{B97AF605-D9EA-814D-A8E9-C275BD51E56F}" type="presParOf" srcId="{F18D1141-D300-EC44-B199-6DDBE692DEF3}" destId="{6CF1AB36-0C83-734B-AE0A-65A72DF57DAD}" srcOrd="0" destOrd="0" presId="urn:microsoft.com/office/officeart/2008/layout/NameandTitleOrganizationalChart"/>
    <dgm:cxn modelId="{FB5A304C-92E3-6344-8982-A12C9C471A7B}" type="presParOf" srcId="{F18D1141-D300-EC44-B199-6DDBE692DEF3}" destId="{C44C9A90-A0F0-BE4D-817C-6F710F1D3157}" srcOrd="1" destOrd="0" presId="urn:microsoft.com/office/officeart/2008/layout/NameandTitleOrganizationalChart"/>
    <dgm:cxn modelId="{6414BC0C-02E0-8D40-96E6-FC31B7E1D9DE}" type="presParOf" srcId="{C44C9A90-A0F0-BE4D-817C-6F710F1D3157}" destId="{309D510D-3C8C-A64D-8406-0CC5FB139885}" srcOrd="0" destOrd="0" presId="urn:microsoft.com/office/officeart/2008/layout/NameandTitleOrganizationalChart"/>
    <dgm:cxn modelId="{BBE112B3-8196-144E-9857-7990A6BF47C2}" type="presParOf" srcId="{309D510D-3C8C-A64D-8406-0CC5FB139885}" destId="{A9200435-A8BB-E04C-8C77-8225080CCDE1}" srcOrd="0" destOrd="0" presId="urn:microsoft.com/office/officeart/2008/layout/NameandTitleOrganizationalChart"/>
    <dgm:cxn modelId="{FAA69597-F05B-644B-AF71-D96B55CBEF84}" type="presParOf" srcId="{309D510D-3C8C-A64D-8406-0CC5FB139885}" destId="{C5CC1943-3AA3-F849-8603-FFF3BA24E2AA}" srcOrd="1" destOrd="0" presId="urn:microsoft.com/office/officeart/2008/layout/NameandTitleOrganizationalChart"/>
    <dgm:cxn modelId="{3C610707-0836-ED4C-B1C7-1397515C14A6}" type="presParOf" srcId="{309D510D-3C8C-A64D-8406-0CC5FB139885}" destId="{96FBD9BD-E2CC-A945-BCBC-0E81F1CF033F}" srcOrd="2" destOrd="0" presId="urn:microsoft.com/office/officeart/2008/layout/NameandTitleOrganizationalChart"/>
    <dgm:cxn modelId="{5F26D045-230E-D743-A60D-B8A1812BCE76}" type="presParOf" srcId="{C44C9A90-A0F0-BE4D-817C-6F710F1D3157}" destId="{3C133D8E-8045-3946-845F-649E56FC1AE6}" srcOrd="1" destOrd="0" presId="urn:microsoft.com/office/officeart/2008/layout/NameandTitleOrganizationalChart"/>
    <dgm:cxn modelId="{88B6BE9E-77B9-7E47-9603-A753ECB5C8D8}" type="presParOf" srcId="{C44C9A90-A0F0-BE4D-817C-6F710F1D3157}" destId="{0E793282-6CF5-4B42-9948-1DB6041877AE}" srcOrd="2" destOrd="0" presId="urn:microsoft.com/office/officeart/2008/layout/NameandTitleOrganizationalChart"/>
    <dgm:cxn modelId="{DCEB46EF-73D0-D945-AFC1-B9426F8786EA}" type="presParOf" srcId="{E1F9CBB2-BE2D-E04D-8FAE-575D48046809}" destId="{6CEA7FDB-9FA3-0248-87E6-78AE23EC77FF}" srcOrd="2" destOrd="0" presId="urn:microsoft.com/office/officeart/2008/layout/NameandTitleOrganizationalChart"/>
    <dgm:cxn modelId="{36F1CEF7-0F62-2543-883E-161CEF81242C}" type="presParOf" srcId="{F5796D2D-1C97-2A4D-B34C-DE638EC3EBD5}" destId="{07F066EC-78AD-E647-98BF-1DC605070229}" srcOrd="2" destOrd="0" presId="urn:microsoft.com/office/officeart/2008/layout/NameandTitleOrganizationalChart"/>
    <dgm:cxn modelId="{C2C6691F-B8CF-BC4C-8405-E2DF56DE32CF}" type="presParOf" srcId="{F5796D2D-1C97-2A4D-B34C-DE638EC3EBD5}" destId="{1C8BC3E7-5D17-BB4E-A740-70D9782BC0A7}" srcOrd="3" destOrd="0" presId="urn:microsoft.com/office/officeart/2008/layout/NameandTitleOrganizationalChart"/>
    <dgm:cxn modelId="{0FA2EF48-751C-8F4B-A299-9F87D8FD6B47}" type="presParOf" srcId="{1C8BC3E7-5D17-BB4E-A740-70D9782BC0A7}" destId="{4FEF1844-68E7-634E-B3EA-F360DAAB2CB6}" srcOrd="0" destOrd="0" presId="urn:microsoft.com/office/officeart/2008/layout/NameandTitleOrganizationalChart"/>
    <dgm:cxn modelId="{02784362-C662-584F-9507-7515F5C71B3E}" type="presParOf" srcId="{4FEF1844-68E7-634E-B3EA-F360DAAB2CB6}" destId="{534E7C87-023B-D343-923D-B02B4C6ECF83}" srcOrd="0" destOrd="0" presId="urn:microsoft.com/office/officeart/2008/layout/NameandTitleOrganizationalChart"/>
    <dgm:cxn modelId="{DDF063EF-FCAE-D345-9C86-84EA1968B164}" type="presParOf" srcId="{4FEF1844-68E7-634E-B3EA-F360DAAB2CB6}" destId="{319EC13D-97F8-6049-8B6F-E77C2305EF47}" srcOrd="1" destOrd="0" presId="urn:microsoft.com/office/officeart/2008/layout/NameandTitleOrganizationalChart"/>
    <dgm:cxn modelId="{A84BFEE1-7681-4D4B-8362-E5CF53E9DBD8}" type="presParOf" srcId="{4FEF1844-68E7-634E-B3EA-F360DAAB2CB6}" destId="{50E5C334-C8C9-9F4C-AE3B-0BC89DE44946}" srcOrd="2" destOrd="0" presId="urn:microsoft.com/office/officeart/2008/layout/NameandTitleOrganizationalChart"/>
    <dgm:cxn modelId="{F85145C0-7E1A-C642-95D0-3670AAFFA6F9}" type="presParOf" srcId="{1C8BC3E7-5D17-BB4E-A740-70D9782BC0A7}" destId="{A208A900-E625-4841-90FF-9211EA2E27BD}" srcOrd="1" destOrd="0" presId="urn:microsoft.com/office/officeart/2008/layout/NameandTitleOrganizationalChart"/>
    <dgm:cxn modelId="{D639C065-18DA-A44C-B638-E9E5F963DCA5}" type="presParOf" srcId="{A208A900-E625-4841-90FF-9211EA2E27BD}" destId="{953BC30A-1D32-D142-9B3B-6FB4FC893938}" srcOrd="0" destOrd="0" presId="urn:microsoft.com/office/officeart/2008/layout/NameandTitleOrganizationalChart"/>
    <dgm:cxn modelId="{555E50D4-4F2B-DB4E-A12D-742EF271511B}" type="presParOf" srcId="{A208A900-E625-4841-90FF-9211EA2E27BD}" destId="{DD39EBD3-202E-7B4D-82B4-4BCF95004967}" srcOrd="1" destOrd="0" presId="urn:microsoft.com/office/officeart/2008/layout/NameandTitleOrganizationalChart"/>
    <dgm:cxn modelId="{3902CD6F-A055-B14D-8C65-049E412821E3}" type="presParOf" srcId="{DD39EBD3-202E-7B4D-82B4-4BCF95004967}" destId="{521E0A4B-837F-F649-B69E-2D791C52272F}" srcOrd="0" destOrd="0" presId="urn:microsoft.com/office/officeart/2008/layout/NameandTitleOrganizationalChart"/>
    <dgm:cxn modelId="{7DF3FBBA-36FB-8E49-8887-6629635E0332}" type="presParOf" srcId="{521E0A4B-837F-F649-B69E-2D791C52272F}" destId="{2FE23783-FCD0-6D44-A232-EDBCCEA9745F}" srcOrd="0" destOrd="0" presId="urn:microsoft.com/office/officeart/2008/layout/NameandTitleOrganizationalChart"/>
    <dgm:cxn modelId="{8B81D36F-D86E-9845-A638-5BF1FFA844AE}" type="presParOf" srcId="{521E0A4B-837F-F649-B69E-2D791C52272F}" destId="{1C0A6843-FC92-D146-85D4-8DD9E35070AE}" srcOrd="1" destOrd="0" presId="urn:microsoft.com/office/officeart/2008/layout/NameandTitleOrganizationalChart"/>
    <dgm:cxn modelId="{0A9DA16B-F6D3-4747-B6B1-6C3509A1095B}" type="presParOf" srcId="{521E0A4B-837F-F649-B69E-2D791C52272F}" destId="{E7ED1956-8FA1-A04E-8E52-E90B6F899671}" srcOrd="2" destOrd="0" presId="urn:microsoft.com/office/officeart/2008/layout/NameandTitleOrganizationalChart"/>
    <dgm:cxn modelId="{1FC5D67C-CED8-934D-8C93-C5CFFBB04022}" type="presParOf" srcId="{DD39EBD3-202E-7B4D-82B4-4BCF95004967}" destId="{7AE56A64-2F7B-434F-8CB0-ED3942EC2391}" srcOrd="1" destOrd="0" presId="urn:microsoft.com/office/officeart/2008/layout/NameandTitleOrganizationalChart"/>
    <dgm:cxn modelId="{91E122BD-077A-A141-8B99-FF441D2DDB47}" type="presParOf" srcId="{DD39EBD3-202E-7B4D-82B4-4BCF95004967}" destId="{3E6692CF-67C3-3B49-B9A1-B990D53B2254}" srcOrd="2" destOrd="0" presId="urn:microsoft.com/office/officeart/2008/layout/NameandTitleOrganizationalChart"/>
    <dgm:cxn modelId="{2E89B828-86B4-764F-9010-70AF1A40A527}" type="presParOf" srcId="{1C8BC3E7-5D17-BB4E-A740-70D9782BC0A7}" destId="{C3CA67AB-E52B-EA4B-8D6C-2A94447A4A5B}" srcOrd="2" destOrd="0" presId="urn:microsoft.com/office/officeart/2008/layout/NameandTitleOrganizationalChart"/>
    <dgm:cxn modelId="{D653CB68-D59F-CB43-99D4-4946FCF496E8}" type="presParOf" srcId="{F5796D2D-1C97-2A4D-B34C-DE638EC3EBD5}" destId="{A121D143-2A03-2C45-9652-DD19DE34E92B}" srcOrd="4" destOrd="0" presId="urn:microsoft.com/office/officeart/2008/layout/NameandTitleOrganizationalChart"/>
    <dgm:cxn modelId="{9742F48E-9599-834A-8246-7CB6230F9A9D}" type="presParOf" srcId="{F5796D2D-1C97-2A4D-B34C-DE638EC3EBD5}" destId="{BCD14EFE-6036-E242-8E13-089CA7C0363D}" srcOrd="5" destOrd="0" presId="urn:microsoft.com/office/officeart/2008/layout/NameandTitleOrganizationalChart"/>
    <dgm:cxn modelId="{7D8A87F7-8B27-DE4B-BD00-35F783C127B4}" type="presParOf" srcId="{BCD14EFE-6036-E242-8E13-089CA7C0363D}" destId="{8ADC8EC3-02CD-CF4C-9743-A94CD10EB74E}" srcOrd="0" destOrd="0" presId="urn:microsoft.com/office/officeart/2008/layout/NameandTitleOrganizationalChart"/>
    <dgm:cxn modelId="{4B22D712-C91B-6F4F-9AB1-A2EFB7D0D911}" type="presParOf" srcId="{8ADC8EC3-02CD-CF4C-9743-A94CD10EB74E}" destId="{F2C54E8E-EC3B-5646-8CE0-00AD5B4FBACC}" srcOrd="0" destOrd="0" presId="urn:microsoft.com/office/officeart/2008/layout/NameandTitleOrganizationalChart"/>
    <dgm:cxn modelId="{0A431824-A855-044A-B0B8-AE85903BA2BE}" type="presParOf" srcId="{8ADC8EC3-02CD-CF4C-9743-A94CD10EB74E}" destId="{0675DCFF-049D-1341-BB54-D309C4AB63C8}" srcOrd="1" destOrd="0" presId="urn:microsoft.com/office/officeart/2008/layout/NameandTitleOrganizationalChart"/>
    <dgm:cxn modelId="{C461E32A-F925-1D42-A16E-3530A05627E1}" type="presParOf" srcId="{8ADC8EC3-02CD-CF4C-9743-A94CD10EB74E}" destId="{58B36BF5-5268-F64D-9ACC-36340AEABC4D}" srcOrd="2" destOrd="0" presId="urn:microsoft.com/office/officeart/2008/layout/NameandTitleOrganizationalChart"/>
    <dgm:cxn modelId="{5B2B237B-81AD-5949-A34B-26CAAC8AB04B}" type="presParOf" srcId="{BCD14EFE-6036-E242-8E13-089CA7C0363D}" destId="{E3F5BEBC-366C-654A-A6EB-289B6A1779DF}" srcOrd="1" destOrd="0" presId="urn:microsoft.com/office/officeart/2008/layout/NameandTitleOrganizationalChart"/>
    <dgm:cxn modelId="{C71D26EA-4F5C-E640-8141-5FB5B0367557}" type="presParOf" srcId="{E3F5BEBC-366C-654A-A6EB-289B6A1779DF}" destId="{FD512F57-DF1E-1E45-ACC1-CDC4319087EF}" srcOrd="0" destOrd="0" presId="urn:microsoft.com/office/officeart/2008/layout/NameandTitleOrganizationalChart"/>
    <dgm:cxn modelId="{6C52C537-A041-264F-BB5D-B1AC25760A5A}" type="presParOf" srcId="{E3F5BEBC-366C-654A-A6EB-289B6A1779DF}" destId="{3FFFA93B-5152-8346-9718-746AC0BFE2B8}" srcOrd="1" destOrd="0" presId="urn:microsoft.com/office/officeart/2008/layout/NameandTitleOrganizationalChart"/>
    <dgm:cxn modelId="{0BBB309A-9A6A-294D-BD78-EC1B1D51929A}" type="presParOf" srcId="{3FFFA93B-5152-8346-9718-746AC0BFE2B8}" destId="{1FDCF180-B9D3-D247-A2F3-4BC0317A4D05}" srcOrd="0" destOrd="0" presId="urn:microsoft.com/office/officeart/2008/layout/NameandTitleOrganizationalChart"/>
    <dgm:cxn modelId="{03FAD5B6-4578-0B41-AD33-66016E02A96C}" type="presParOf" srcId="{1FDCF180-B9D3-D247-A2F3-4BC0317A4D05}" destId="{8707A031-F448-944F-9633-AEBE561525B6}" srcOrd="0" destOrd="0" presId="urn:microsoft.com/office/officeart/2008/layout/NameandTitleOrganizationalChart"/>
    <dgm:cxn modelId="{01BDE5FD-1055-CF48-9A62-1EC549A304A3}" type="presParOf" srcId="{1FDCF180-B9D3-D247-A2F3-4BC0317A4D05}" destId="{2AC1C034-2A72-E142-980D-6C8B43C50122}" srcOrd="1" destOrd="0" presId="urn:microsoft.com/office/officeart/2008/layout/NameandTitleOrganizationalChart"/>
    <dgm:cxn modelId="{2319044D-3926-FE4D-BF22-2E84D626B4AD}" type="presParOf" srcId="{1FDCF180-B9D3-D247-A2F3-4BC0317A4D05}" destId="{38CBFE1C-B605-284E-8EF1-FB0A706FF17F}" srcOrd="2" destOrd="0" presId="urn:microsoft.com/office/officeart/2008/layout/NameandTitleOrganizationalChart"/>
    <dgm:cxn modelId="{D56AA258-D1BD-2F4C-B277-3353AD81BE06}" type="presParOf" srcId="{3FFFA93B-5152-8346-9718-746AC0BFE2B8}" destId="{5AA8A3EC-87C0-E748-809B-5D9F6EF202B7}" srcOrd="1" destOrd="0" presId="urn:microsoft.com/office/officeart/2008/layout/NameandTitleOrganizationalChart"/>
    <dgm:cxn modelId="{EC198DF1-B268-9B4F-8907-EB53E4179D19}" type="presParOf" srcId="{3FFFA93B-5152-8346-9718-746AC0BFE2B8}" destId="{141AFD7E-5C5E-7D42-A295-C8F370DBD3D3}" srcOrd="2" destOrd="0" presId="urn:microsoft.com/office/officeart/2008/layout/NameandTitleOrganizationalChart"/>
    <dgm:cxn modelId="{414F3AC5-5EEA-BF4C-83E0-A43415A2C508}" type="presParOf" srcId="{BCD14EFE-6036-E242-8E13-089CA7C0363D}" destId="{7678F1E4-749B-044D-A6C7-18ABCC1B8751}" srcOrd="2" destOrd="0" presId="urn:microsoft.com/office/officeart/2008/layout/NameandTitleOrganizationalChart"/>
    <dgm:cxn modelId="{24CF4ED6-DCCD-B941-8672-AB43F2223BD1}" type="presParOf" srcId="{CF09E2CB-0A3D-BB4D-B2C3-73833BEBBBF5}" destId="{A5AF3903-2E9F-E143-B406-DCD839CA8ACB}" srcOrd="2" destOrd="0" presId="urn:microsoft.com/office/officeart/2008/layout/NameandTitleOrganizationalChart"/>
    <dgm:cxn modelId="{65BB468E-B30D-BF4A-A980-61AFD766EDEE}" type="presParOf" srcId="{A5AF3903-2E9F-E143-B406-DCD839CA8ACB}" destId="{BF7C6D87-A8B4-C24E-B4C2-9B126E2E7DC7}" srcOrd="0" destOrd="0" presId="urn:microsoft.com/office/officeart/2008/layout/NameandTitleOrganizationalChart"/>
    <dgm:cxn modelId="{845EE3F1-479F-054D-B9E5-4E125D7F1A72}" type="presParOf" srcId="{A5AF3903-2E9F-E143-B406-DCD839CA8ACB}" destId="{D0AB8B52-2928-594C-8619-E8ACCF5699E7}" srcOrd="1" destOrd="0" presId="urn:microsoft.com/office/officeart/2008/layout/NameandTitleOrganizationalChart"/>
    <dgm:cxn modelId="{65E5B91E-FD5F-D141-B501-9699CD12C86D}" type="presParOf" srcId="{D0AB8B52-2928-594C-8619-E8ACCF5699E7}" destId="{F77ECE8E-D646-AF45-894F-8AF3B63C2A4F}" srcOrd="0" destOrd="0" presId="urn:microsoft.com/office/officeart/2008/layout/NameandTitleOrganizationalChart"/>
    <dgm:cxn modelId="{43D33EF6-7C42-7240-8B7D-F688A9274820}" type="presParOf" srcId="{F77ECE8E-D646-AF45-894F-8AF3B63C2A4F}" destId="{39C89593-A2B9-4B4E-B8EA-65C88E919D7D}" srcOrd="0" destOrd="0" presId="urn:microsoft.com/office/officeart/2008/layout/NameandTitleOrganizationalChart"/>
    <dgm:cxn modelId="{66EEAABE-FF20-DA42-AE3C-116365100695}" type="presParOf" srcId="{F77ECE8E-D646-AF45-894F-8AF3B63C2A4F}" destId="{21435BB0-2023-2C49-9AF8-69E733BC1F0C}" srcOrd="1" destOrd="0" presId="urn:microsoft.com/office/officeart/2008/layout/NameandTitleOrganizationalChart"/>
    <dgm:cxn modelId="{377F0D63-7DD2-F148-9C2C-40951CC9238D}" type="presParOf" srcId="{F77ECE8E-D646-AF45-894F-8AF3B63C2A4F}" destId="{55BCB0D9-54D5-3F4A-8F41-14AEE824F84C}" srcOrd="2" destOrd="0" presId="urn:microsoft.com/office/officeart/2008/layout/NameandTitleOrganizationalChart"/>
    <dgm:cxn modelId="{1FA3E91A-33CD-4C4A-92B4-C52C583FCE7E}" type="presParOf" srcId="{D0AB8B52-2928-594C-8619-E8ACCF5699E7}" destId="{D35AA795-70ED-9D45-925F-FD09DD6D9AAC}" srcOrd="1" destOrd="0" presId="urn:microsoft.com/office/officeart/2008/layout/NameandTitleOrganizationalChart"/>
    <dgm:cxn modelId="{F79560AE-4C8E-7D4B-AEED-BB67D3729BCC}" type="presParOf" srcId="{D0AB8B52-2928-594C-8619-E8ACCF5699E7}" destId="{034B5562-0D7A-B047-AF81-EC8D9D79A6C7}" srcOrd="2" destOrd="0" presId="urn:microsoft.com/office/officeart/2008/layout/NameandTitleOrganizationalChart"/>
  </dgm:cxnLst>
  <dgm:bg/>
  <dgm:whole/>
  <dgm:extLst>
    <a:ext uri="http://schemas.microsoft.com/office/drawing/2008/diagram">
      <dsp:dataModelExt xmlns:dsp="http://schemas.microsoft.com/office/drawing/2008/diagram" relId="rId7" minVer="http://schemas.openxmlformats.org/drawingml/2006/diagram"/>
    </a:ext>
  </dgm:extLst>
</dgm:dataModel>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7C6D87-A8B4-C24E-B4C2-9B126E2E7DC7}">
      <dsp:nvSpPr>
        <dsp:cNvPr id="0" name=""/>
        <dsp:cNvSpPr/>
      </dsp:nvSpPr>
      <dsp:spPr>
        <a:xfrm>
          <a:off x="2484713" y="548746"/>
          <a:ext cx="180457" cy="589543"/>
        </a:xfrm>
        <a:custGeom>
          <a:avLst/>
          <a:gdLst/>
          <a:ahLst/>
          <a:cxnLst/>
          <a:rect l="0" t="0" r="0" b="0"/>
          <a:pathLst>
            <a:path>
              <a:moveTo>
                <a:pt x="180457" y="0"/>
              </a:moveTo>
              <a:lnTo>
                <a:pt x="180457" y="589543"/>
              </a:lnTo>
              <a:lnTo>
                <a:pt x="0" y="58954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D512F57-DF1E-1E45-ACC1-CDC4319087EF}">
      <dsp:nvSpPr>
        <dsp:cNvPr id="0" name=""/>
        <dsp:cNvSpPr/>
      </dsp:nvSpPr>
      <dsp:spPr>
        <a:xfrm>
          <a:off x="4011640" y="2274832"/>
          <a:ext cx="91440" cy="316043"/>
        </a:xfrm>
        <a:custGeom>
          <a:avLst/>
          <a:gdLst/>
          <a:ahLst/>
          <a:cxnLst/>
          <a:rect l="0" t="0" r="0" b="0"/>
          <a:pathLst>
            <a:path>
              <a:moveTo>
                <a:pt x="96130" y="0"/>
              </a:moveTo>
              <a:lnTo>
                <a:pt x="96130" y="188410"/>
              </a:lnTo>
              <a:lnTo>
                <a:pt x="45720" y="188410"/>
              </a:lnTo>
              <a:lnTo>
                <a:pt x="45720" y="31604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121D143-2A03-2C45-9652-DD19DE34E92B}">
      <dsp:nvSpPr>
        <dsp:cNvPr id="0" name=""/>
        <dsp:cNvSpPr/>
      </dsp:nvSpPr>
      <dsp:spPr>
        <a:xfrm>
          <a:off x="2665170" y="548746"/>
          <a:ext cx="1442601" cy="1179087"/>
        </a:xfrm>
        <a:custGeom>
          <a:avLst/>
          <a:gdLst/>
          <a:ahLst/>
          <a:cxnLst/>
          <a:rect l="0" t="0" r="0" b="0"/>
          <a:pathLst>
            <a:path>
              <a:moveTo>
                <a:pt x="0" y="0"/>
              </a:moveTo>
              <a:lnTo>
                <a:pt x="0" y="1051453"/>
              </a:lnTo>
              <a:lnTo>
                <a:pt x="1442601" y="1051453"/>
              </a:lnTo>
              <a:lnTo>
                <a:pt x="1442601" y="117908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53BC30A-1D32-D142-9B3B-6FB4FC893938}">
      <dsp:nvSpPr>
        <dsp:cNvPr id="0" name=""/>
        <dsp:cNvSpPr/>
      </dsp:nvSpPr>
      <dsp:spPr>
        <a:xfrm>
          <a:off x="2594245" y="2274832"/>
          <a:ext cx="91440" cy="316043"/>
        </a:xfrm>
        <a:custGeom>
          <a:avLst/>
          <a:gdLst/>
          <a:ahLst/>
          <a:cxnLst/>
          <a:rect l="0" t="0" r="0" b="0"/>
          <a:pathLst>
            <a:path>
              <a:moveTo>
                <a:pt x="45720" y="0"/>
              </a:moveTo>
              <a:lnTo>
                <a:pt x="45720" y="31604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7F066EC-78AD-E647-98BF-1DC605070229}">
      <dsp:nvSpPr>
        <dsp:cNvPr id="0" name=""/>
        <dsp:cNvSpPr/>
      </dsp:nvSpPr>
      <dsp:spPr>
        <a:xfrm>
          <a:off x="2594245" y="548746"/>
          <a:ext cx="91440" cy="1179087"/>
        </a:xfrm>
        <a:custGeom>
          <a:avLst/>
          <a:gdLst/>
          <a:ahLst/>
          <a:cxnLst/>
          <a:rect l="0" t="0" r="0" b="0"/>
          <a:pathLst>
            <a:path>
              <a:moveTo>
                <a:pt x="70925" y="0"/>
              </a:moveTo>
              <a:lnTo>
                <a:pt x="70925" y="1051453"/>
              </a:lnTo>
              <a:lnTo>
                <a:pt x="45720" y="1051453"/>
              </a:lnTo>
              <a:lnTo>
                <a:pt x="45720" y="117908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CF1AB36-0C83-734B-AE0A-65A72DF57DAD}">
      <dsp:nvSpPr>
        <dsp:cNvPr id="0" name=""/>
        <dsp:cNvSpPr/>
      </dsp:nvSpPr>
      <dsp:spPr>
        <a:xfrm>
          <a:off x="1176849" y="2274832"/>
          <a:ext cx="91440" cy="316043"/>
        </a:xfrm>
        <a:custGeom>
          <a:avLst/>
          <a:gdLst/>
          <a:ahLst/>
          <a:cxnLst/>
          <a:rect l="0" t="0" r="0" b="0"/>
          <a:pathLst>
            <a:path>
              <a:moveTo>
                <a:pt x="45720" y="0"/>
              </a:moveTo>
              <a:lnTo>
                <a:pt x="45720" y="31604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76D592E-EBA2-CB4F-BEB0-6202B9884E34}">
      <dsp:nvSpPr>
        <dsp:cNvPr id="0" name=""/>
        <dsp:cNvSpPr/>
      </dsp:nvSpPr>
      <dsp:spPr>
        <a:xfrm>
          <a:off x="1222569" y="548746"/>
          <a:ext cx="1442601" cy="1179087"/>
        </a:xfrm>
        <a:custGeom>
          <a:avLst/>
          <a:gdLst/>
          <a:ahLst/>
          <a:cxnLst/>
          <a:rect l="0" t="0" r="0" b="0"/>
          <a:pathLst>
            <a:path>
              <a:moveTo>
                <a:pt x="1442601" y="0"/>
              </a:moveTo>
              <a:lnTo>
                <a:pt x="1442601" y="1051453"/>
              </a:lnTo>
              <a:lnTo>
                <a:pt x="0" y="1051453"/>
              </a:lnTo>
              <a:lnTo>
                <a:pt x="0" y="117908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4B2BAAB-E6AC-0244-B338-8A08A2993D5F}">
      <dsp:nvSpPr>
        <dsp:cNvPr id="0" name=""/>
        <dsp:cNvSpPr/>
      </dsp:nvSpPr>
      <dsp:spPr>
        <a:xfrm>
          <a:off x="2136929" y="1746"/>
          <a:ext cx="1056481" cy="546999"/>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77188" numCol="1" spcCol="1270" anchor="ctr" anchorCtr="0">
          <a:noAutofit/>
        </a:bodyPr>
        <a:lstStyle/>
        <a:p>
          <a:pPr marL="0" lvl="0" indent="0" algn="ctr" defTabSz="222250">
            <a:lnSpc>
              <a:spcPct val="90000"/>
            </a:lnSpc>
            <a:spcBef>
              <a:spcPct val="0"/>
            </a:spcBef>
            <a:spcAft>
              <a:spcPct val="35000"/>
            </a:spcAft>
            <a:buNone/>
          </a:pPr>
          <a:r>
            <a:rPr lang="en-US" sz="500" kern="1200"/>
            <a:t>Head of Department</a:t>
          </a:r>
        </a:p>
      </dsp:txBody>
      <dsp:txXfrm>
        <a:off x="2136929" y="1746"/>
        <a:ext cx="1056481" cy="546999"/>
      </dsp:txXfrm>
    </dsp:sp>
    <dsp:sp modelId="{7DE735A0-EDAC-0D4E-A7F9-20DB7DA96942}">
      <dsp:nvSpPr>
        <dsp:cNvPr id="0" name=""/>
        <dsp:cNvSpPr/>
      </dsp:nvSpPr>
      <dsp:spPr>
        <a:xfrm>
          <a:off x="2348226" y="427190"/>
          <a:ext cx="950833" cy="182333"/>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2348226" y="427190"/>
        <a:ext cx="950833" cy="182333"/>
      </dsp:txXfrm>
    </dsp:sp>
    <dsp:sp modelId="{63EAD86D-5068-A644-9E3E-DAD4464EC98E}">
      <dsp:nvSpPr>
        <dsp:cNvPr id="0" name=""/>
        <dsp:cNvSpPr/>
      </dsp:nvSpPr>
      <dsp:spPr>
        <a:xfrm>
          <a:off x="694328" y="1727833"/>
          <a:ext cx="1056481" cy="546999"/>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77188" numCol="1" spcCol="1270" anchor="ctr" anchorCtr="0">
          <a:noAutofit/>
        </a:bodyPr>
        <a:lstStyle/>
        <a:p>
          <a:pPr marL="0" lvl="0" indent="0" algn="ctr" defTabSz="222250">
            <a:lnSpc>
              <a:spcPct val="90000"/>
            </a:lnSpc>
            <a:spcBef>
              <a:spcPct val="0"/>
            </a:spcBef>
            <a:spcAft>
              <a:spcPct val="35000"/>
            </a:spcAft>
            <a:buNone/>
          </a:pPr>
          <a:r>
            <a:rPr lang="en-US" sz="500" kern="1200"/>
            <a:t>Secretariat</a:t>
          </a:r>
        </a:p>
      </dsp:txBody>
      <dsp:txXfrm>
        <a:off x="694328" y="1727833"/>
        <a:ext cx="1056481" cy="546999"/>
      </dsp:txXfrm>
    </dsp:sp>
    <dsp:sp modelId="{774712D3-4275-0748-807F-4806CE374919}">
      <dsp:nvSpPr>
        <dsp:cNvPr id="0" name=""/>
        <dsp:cNvSpPr/>
      </dsp:nvSpPr>
      <dsp:spPr>
        <a:xfrm>
          <a:off x="905625" y="2153276"/>
          <a:ext cx="950833" cy="182333"/>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r" defTabSz="311150">
            <a:lnSpc>
              <a:spcPct val="90000"/>
            </a:lnSpc>
            <a:spcBef>
              <a:spcPct val="0"/>
            </a:spcBef>
            <a:spcAft>
              <a:spcPct val="35000"/>
            </a:spcAft>
            <a:buNone/>
          </a:pPr>
          <a:r>
            <a:rPr lang="en-US" sz="700" kern="1200"/>
            <a:t>Departmental Secretary</a:t>
          </a:r>
        </a:p>
      </dsp:txBody>
      <dsp:txXfrm>
        <a:off x="905625" y="2153276"/>
        <a:ext cx="950833" cy="182333"/>
      </dsp:txXfrm>
    </dsp:sp>
    <dsp:sp modelId="{A9200435-A8BB-E04C-8C77-8225080CCDE1}">
      <dsp:nvSpPr>
        <dsp:cNvPr id="0" name=""/>
        <dsp:cNvSpPr/>
      </dsp:nvSpPr>
      <dsp:spPr>
        <a:xfrm>
          <a:off x="694328" y="2590876"/>
          <a:ext cx="1056481" cy="546999"/>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77188" numCol="1" spcCol="1270" anchor="ctr" anchorCtr="0">
          <a:noAutofit/>
        </a:bodyPr>
        <a:lstStyle/>
        <a:p>
          <a:pPr marL="0" lvl="0" indent="0" algn="ctr" defTabSz="222250">
            <a:lnSpc>
              <a:spcPct val="90000"/>
            </a:lnSpc>
            <a:spcBef>
              <a:spcPct val="0"/>
            </a:spcBef>
            <a:spcAft>
              <a:spcPct val="35000"/>
            </a:spcAft>
            <a:buNone/>
          </a:pPr>
          <a:r>
            <a:rPr lang="en-US" sz="500" kern="1200"/>
            <a:t>Admin Officer</a:t>
          </a:r>
        </a:p>
        <a:p>
          <a:pPr marL="0" lvl="0" indent="0" algn="ctr" defTabSz="222250">
            <a:lnSpc>
              <a:spcPct val="90000"/>
            </a:lnSpc>
            <a:spcBef>
              <a:spcPct val="0"/>
            </a:spcBef>
            <a:spcAft>
              <a:spcPct val="35000"/>
            </a:spcAft>
            <a:buNone/>
          </a:pPr>
          <a:r>
            <a:rPr lang="en-US" sz="500" kern="1200"/>
            <a:t>Clerical Officer</a:t>
          </a:r>
        </a:p>
        <a:p>
          <a:pPr marL="0" lvl="0" indent="0" algn="ctr" defTabSz="222250">
            <a:lnSpc>
              <a:spcPct val="90000"/>
            </a:lnSpc>
            <a:spcBef>
              <a:spcPct val="0"/>
            </a:spcBef>
            <a:spcAft>
              <a:spcPct val="35000"/>
            </a:spcAft>
            <a:buNone/>
          </a:pPr>
          <a:r>
            <a:rPr lang="en-US" sz="500" kern="1200"/>
            <a:t>Computer Operator</a:t>
          </a:r>
        </a:p>
        <a:p>
          <a:pPr marL="0" lvl="0" indent="0" algn="ctr" defTabSz="222250">
            <a:lnSpc>
              <a:spcPct val="90000"/>
            </a:lnSpc>
            <a:spcBef>
              <a:spcPct val="0"/>
            </a:spcBef>
            <a:spcAft>
              <a:spcPct val="35000"/>
            </a:spcAft>
            <a:buNone/>
          </a:pPr>
          <a:r>
            <a:rPr lang="en-US" sz="500" kern="1200"/>
            <a:t>Messenger</a:t>
          </a:r>
        </a:p>
        <a:p>
          <a:pPr marL="0" lvl="0" indent="0" algn="ctr" defTabSz="222250">
            <a:lnSpc>
              <a:spcPct val="90000"/>
            </a:lnSpc>
            <a:spcBef>
              <a:spcPct val="0"/>
            </a:spcBef>
            <a:spcAft>
              <a:spcPct val="35000"/>
            </a:spcAft>
            <a:buNone/>
          </a:pPr>
          <a:r>
            <a:rPr lang="en-US" sz="500" kern="1200"/>
            <a:t>Head Cleaner</a:t>
          </a:r>
        </a:p>
      </dsp:txBody>
      <dsp:txXfrm>
        <a:off x="694328" y="2590876"/>
        <a:ext cx="1056481" cy="546999"/>
      </dsp:txXfrm>
    </dsp:sp>
    <dsp:sp modelId="{C5CC1943-3AA3-F849-8603-FFF3BA24E2AA}">
      <dsp:nvSpPr>
        <dsp:cNvPr id="0" name=""/>
        <dsp:cNvSpPr/>
      </dsp:nvSpPr>
      <dsp:spPr>
        <a:xfrm>
          <a:off x="905625" y="3016320"/>
          <a:ext cx="950833" cy="182333"/>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905625" y="3016320"/>
        <a:ext cx="950833" cy="182333"/>
      </dsp:txXfrm>
    </dsp:sp>
    <dsp:sp modelId="{534E7C87-023B-D343-923D-B02B4C6ECF83}">
      <dsp:nvSpPr>
        <dsp:cNvPr id="0" name=""/>
        <dsp:cNvSpPr/>
      </dsp:nvSpPr>
      <dsp:spPr>
        <a:xfrm>
          <a:off x="2111724" y="1727833"/>
          <a:ext cx="1056481" cy="546999"/>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77188" numCol="1" spcCol="1270" anchor="ctr" anchorCtr="0">
          <a:noAutofit/>
        </a:bodyPr>
        <a:lstStyle/>
        <a:p>
          <a:pPr marL="0" lvl="0" indent="0" algn="ctr" defTabSz="222250">
            <a:lnSpc>
              <a:spcPct val="90000"/>
            </a:lnSpc>
            <a:spcBef>
              <a:spcPct val="0"/>
            </a:spcBef>
            <a:spcAft>
              <a:spcPct val="35000"/>
            </a:spcAft>
            <a:buNone/>
          </a:pPr>
          <a:r>
            <a:rPr lang="en-US" sz="500" kern="1200"/>
            <a:t>Academic Satff</a:t>
          </a:r>
        </a:p>
      </dsp:txBody>
      <dsp:txXfrm>
        <a:off x="2111724" y="1727833"/>
        <a:ext cx="1056481" cy="546999"/>
      </dsp:txXfrm>
    </dsp:sp>
    <dsp:sp modelId="{319EC13D-97F8-6049-8B6F-E77C2305EF47}">
      <dsp:nvSpPr>
        <dsp:cNvPr id="0" name=""/>
        <dsp:cNvSpPr/>
      </dsp:nvSpPr>
      <dsp:spPr>
        <a:xfrm>
          <a:off x="2323020" y="2153276"/>
          <a:ext cx="950833" cy="182333"/>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2323020" y="2153276"/>
        <a:ext cx="950833" cy="182333"/>
      </dsp:txXfrm>
    </dsp:sp>
    <dsp:sp modelId="{2FE23783-FCD0-6D44-A232-EDBCCEA9745F}">
      <dsp:nvSpPr>
        <dsp:cNvPr id="0" name=""/>
        <dsp:cNvSpPr/>
      </dsp:nvSpPr>
      <dsp:spPr>
        <a:xfrm>
          <a:off x="2111724" y="2590876"/>
          <a:ext cx="1056481" cy="546999"/>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77188" numCol="1" spcCol="1270" anchor="ctr" anchorCtr="0">
          <a:noAutofit/>
        </a:bodyPr>
        <a:lstStyle/>
        <a:p>
          <a:pPr marL="0" lvl="0" indent="0" algn="ctr" defTabSz="222250">
            <a:lnSpc>
              <a:spcPct val="90000"/>
            </a:lnSpc>
            <a:spcBef>
              <a:spcPct val="0"/>
            </a:spcBef>
            <a:spcAft>
              <a:spcPct val="35000"/>
            </a:spcAft>
            <a:buNone/>
          </a:pPr>
          <a:r>
            <a:rPr lang="en-US" sz="500" kern="1200"/>
            <a:t>Professor</a:t>
          </a:r>
        </a:p>
        <a:p>
          <a:pPr marL="0" lvl="0" indent="0" algn="ctr" defTabSz="222250">
            <a:lnSpc>
              <a:spcPct val="90000"/>
            </a:lnSpc>
            <a:spcBef>
              <a:spcPct val="0"/>
            </a:spcBef>
            <a:spcAft>
              <a:spcPct val="35000"/>
            </a:spcAft>
            <a:buNone/>
          </a:pPr>
          <a:r>
            <a:rPr lang="en-US" sz="500" kern="1200"/>
            <a:t>Associate Professor</a:t>
          </a:r>
        </a:p>
        <a:p>
          <a:pPr marL="0" lvl="0" indent="0" algn="ctr" defTabSz="222250">
            <a:lnSpc>
              <a:spcPct val="90000"/>
            </a:lnSpc>
            <a:spcBef>
              <a:spcPct val="0"/>
            </a:spcBef>
            <a:spcAft>
              <a:spcPct val="35000"/>
            </a:spcAft>
            <a:buNone/>
          </a:pPr>
          <a:r>
            <a:rPr lang="en-US" sz="500" kern="1200"/>
            <a:t>Senior Lecturer</a:t>
          </a:r>
        </a:p>
        <a:p>
          <a:pPr marL="0" lvl="0" indent="0" algn="ctr" defTabSz="222250">
            <a:lnSpc>
              <a:spcPct val="90000"/>
            </a:lnSpc>
            <a:spcBef>
              <a:spcPct val="0"/>
            </a:spcBef>
            <a:spcAft>
              <a:spcPct val="35000"/>
            </a:spcAft>
            <a:buNone/>
          </a:pPr>
          <a:r>
            <a:rPr lang="en-US" sz="500" kern="1200"/>
            <a:t>Lecturer I</a:t>
          </a:r>
        </a:p>
        <a:p>
          <a:pPr marL="0" lvl="0" indent="0" algn="ctr" defTabSz="222250">
            <a:lnSpc>
              <a:spcPct val="90000"/>
            </a:lnSpc>
            <a:spcBef>
              <a:spcPct val="0"/>
            </a:spcBef>
            <a:spcAft>
              <a:spcPct val="35000"/>
            </a:spcAft>
            <a:buNone/>
          </a:pPr>
          <a:r>
            <a:rPr lang="en-US" sz="500" kern="1200"/>
            <a:t>Lecturer II</a:t>
          </a:r>
        </a:p>
        <a:p>
          <a:pPr marL="0" lvl="0" indent="0" algn="ctr" defTabSz="222250">
            <a:lnSpc>
              <a:spcPct val="90000"/>
            </a:lnSpc>
            <a:spcBef>
              <a:spcPct val="0"/>
            </a:spcBef>
            <a:spcAft>
              <a:spcPct val="35000"/>
            </a:spcAft>
            <a:buNone/>
          </a:pPr>
          <a:r>
            <a:rPr lang="en-US" sz="500" kern="1200"/>
            <a:t>Assitant Lecturer</a:t>
          </a:r>
        </a:p>
        <a:p>
          <a:pPr marL="0" lvl="0" indent="0" algn="ctr" defTabSz="222250">
            <a:lnSpc>
              <a:spcPct val="90000"/>
            </a:lnSpc>
            <a:spcBef>
              <a:spcPct val="0"/>
            </a:spcBef>
            <a:spcAft>
              <a:spcPct val="35000"/>
            </a:spcAft>
            <a:buNone/>
          </a:pPr>
          <a:r>
            <a:rPr lang="en-US" sz="500" kern="1200"/>
            <a:t>Graduate Assistant</a:t>
          </a:r>
        </a:p>
        <a:p>
          <a:pPr marL="0" lvl="0" indent="0" algn="ctr" defTabSz="222250">
            <a:lnSpc>
              <a:spcPct val="90000"/>
            </a:lnSpc>
            <a:spcBef>
              <a:spcPct val="0"/>
            </a:spcBef>
            <a:spcAft>
              <a:spcPct val="35000"/>
            </a:spcAft>
            <a:buNone/>
          </a:pPr>
          <a:endParaRPr lang="en-US" sz="500" kern="1200"/>
        </a:p>
      </dsp:txBody>
      <dsp:txXfrm>
        <a:off x="2111724" y="2590876"/>
        <a:ext cx="1056481" cy="546999"/>
      </dsp:txXfrm>
    </dsp:sp>
    <dsp:sp modelId="{1C0A6843-FC92-D146-85D4-8DD9E35070AE}">
      <dsp:nvSpPr>
        <dsp:cNvPr id="0" name=""/>
        <dsp:cNvSpPr/>
      </dsp:nvSpPr>
      <dsp:spPr>
        <a:xfrm>
          <a:off x="2323020" y="3016320"/>
          <a:ext cx="950833" cy="182333"/>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2323020" y="3016320"/>
        <a:ext cx="950833" cy="182333"/>
      </dsp:txXfrm>
    </dsp:sp>
    <dsp:sp modelId="{F2C54E8E-EC3B-5646-8CE0-00AD5B4FBACC}">
      <dsp:nvSpPr>
        <dsp:cNvPr id="0" name=""/>
        <dsp:cNvSpPr/>
      </dsp:nvSpPr>
      <dsp:spPr>
        <a:xfrm>
          <a:off x="3579530" y="1727833"/>
          <a:ext cx="1056481" cy="546999"/>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77188" numCol="1" spcCol="1270" anchor="ctr" anchorCtr="0">
          <a:noAutofit/>
        </a:bodyPr>
        <a:lstStyle/>
        <a:p>
          <a:pPr marL="0" lvl="0" indent="0" algn="ctr" defTabSz="222250">
            <a:lnSpc>
              <a:spcPct val="90000"/>
            </a:lnSpc>
            <a:spcBef>
              <a:spcPct val="0"/>
            </a:spcBef>
            <a:spcAft>
              <a:spcPct val="35000"/>
            </a:spcAft>
            <a:buNone/>
          </a:pPr>
          <a:r>
            <a:rPr lang="en-US" sz="500" kern="1200"/>
            <a:t>Departmental Committes</a:t>
          </a:r>
        </a:p>
      </dsp:txBody>
      <dsp:txXfrm>
        <a:off x="3579530" y="1727833"/>
        <a:ext cx="1056481" cy="546999"/>
      </dsp:txXfrm>
    </dsp:sp>
    <dsp:sp modelId="{0675DCFF-049D-1341-BB54-D309C4AB63C8}">
      <dsp:nvSpPr>
        <dsp:cNvPr id="0" name=""/>
        <dsp:cNvSpPr/>
      </dsp:nvSpPr>
      <dsp:spPr>
        <a:xfrm>
          <a:off x="3790827" y="2153276"/>
          <a:ext cx="950833" cy="182333"/>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3790827" y="2153276"/>
        <a:ext cx="950833" cy="182333"/>
      </dsp:txXfrm>
    </dsp:sp>
    <dsp:sp modelId="{8707A031-F448-944F-9633-AEBE561525B6}">
      <dsp:nvSpPr>
        <dsp:cNvPr id="0" name=""/>
        <dsp:cNvSpPr/>
      </dsp:nvSpPr>
      <dsp:spPr>
        <a:xfrm>
          <a:off x="3529120" y="2590876"/>
          <a:ext cx="1056481" cy="546999"/>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77188" numCol="1" spcCol="1270" anchor="ctr" anchorCtr="0">
          <a:noAutofit/>
        </a:bodyPr>
        <a:lstStyle/>
        <a:p>
          <a:pPr marL="0" lvl="0" indent="0" algn="ctr" defTabSz="222250">
            <a:lnSpc>
              <a:spcPct val="90000"/>
            </a:lnSpc>
            <a:spcBef>
              <a:spcPct val="0"/>
            </a:spcBef>
            <a:spcAft>
              <a:spcPct val="35000"/>
            </a:spcAft>
            <a:buNone/>
          </a:pPr>
          <a:r>
            <a:rPr lang="en-US" sz="500" kern="1200"/>
            <a:t>Examinations</a:t>
          </a:r>
        </a:p>
        <a:p>
          <a:pPr marL="0" lvl="0" indent="0" algn="ctr" defTabSz="222250">
            <a:lnSpc>
              <a:spcPct val="90000"/>
            </a:lnSpc>
            <a:spcBef>
              <a:spcPct val="0"/>
            </a:spcBef>
            <a:spcAft>
              <a:spcPct val="35000"/>
            </a:spcAft>
            <a:buNone/>
          </a:pPr>
          <a:r>
            <a:rPr lang="en-US" sz="500" kern="1200"/>
            <a:t>Publocation and Research</a:t>
          </a:r>
        </a:p>
        <a:p>
          <a:pPr marL="0" lvl="0" indent="0" algn="ctr" defTabSz="222250">
            <a:lnSpc>
              <a:spcPct val="90000"/>
            </a:lnSpc>
            <a:spcBef>
              <a:spcPct val="0"/>
            </a:spcBef>
            <a:spcAft>
              <a:spcPct val="35000"/>
            </a:spcAft>
            <a:buNone/>
          </a:pPr>
          <a:r>
            <a:rPr lang="en-US" sz="500" kern="1200"/>
            <a:t>Grants</a:t>
          </a:r>
        </a:p>
        <a:p>
          <a:pPr marL="0" lvl="0" indent="0" algn="ctr" defTabSz="222250">
            <a:lnSpc>
              <a:spcPct val="90000"/>
            </a:lnSpc>
            <a:spcBef>
              <a:spcPct val="0"/>
            </a:spcBef>
            <a:spcAft>
              <a:spcPct val="35000"/>
            </a:spcAft>
            <a:buNone/>
          </a:pPr>
          <a:r>
            <a:rPr lang="en-US" sz="500" kern="1200"/>
            <a:t>Budget</a:t>
          </a:r>
        </a:p>
        <a:p>
          <a:pPr marL="0" lvl="0" indent="0" algn="ctr" defTabSz="222250">
            <a:lnSpc>
              <a:spcPct val="90000"/>
            </a:lnSpc>
            <a:spcBef>
              <a:spcPct val="0"/>
            </a:spcBef>
            <a:spcAft>
              <a:spcPct val="35000"/>
            </a:spcAft>
            <a:buNone/>
          </a:pPr>
          <a:r>
            <a:rPr lang="en-US" sz="500" kern="1200"/>
            <a:t>Time Table</a:t>
          </a:r>
        </a:p>
        <a:p>
          <a:pPr marL="0" lvl="0" indent="0" algn="ctr" defTabSz="222250">
            <a:lnSpc>
              <a:spcPct val="90000"/>
            </a:lnSpc>
            <a:spcBef>
              <a:spcPct val="0"/>
            </a:spcBef>
            <a:spcAft>
              <a:spcPct val="35000"/>
            </a:spcAft>
            <a:buNone/>
          </a:pPr>
          <a:r>
            <a:rPr lang="en-US" sz="500" kern="1200"/>
            <a:t>Post Graduate</a:t>
          </a:r>
        </a:p>
        <a:p>
          <a:pPr marL="0" lvl="0" indent="0" algn="ctr" defTabSz="222250">
            <a:lnSpc>
              <a:spcPct val="90000"/>
            </a:lnSpc>
            <a:spcBef>
              <a:spcPct val="0"/>
            </a:spcBef>
            <a:spcAft>
              <a:spcPct val="35000"/>
            </a:spcAft>
            <a:buNone/>
          </a:pPr>
          <a:r>
            <a:rPr lang="en-US" sz="500" kern="1200"/>
            <a:t>Finance</a:t>
          </a:r>
        </a:p>
        <a:p>
          <a:pPr marL="0" lvl="0" indent="0" algn="ctr" defTabSz="222250">
            <a:lnSpc>
              <a:spcPct val="90000"/>
            </a:lnSpc>
            <a:spcBef>
              <a:spcPct val="0"/>
            </a:spcBef>
            <a:spcAft>
              <a:spcPct val="35000"/>
            </a:spcAft>
            <a:buNone/>
          </a:pPr>
          <a:r>
            <a:rPr lang="en-US" sz="500" kern="1200"/>
            <a:t>Welafare</a:t>
          </a:r>
        </a:p>
      </dsp:txBody>
      <dsp:txXfrm>
        <a:off x="3529120" y="2590876"/>
        <a:ext cx="1056481" cy="546999"/>
      </dsp:txXfrm>
    </dsp:sp>
    <dsp:sp modelId="{2AC1C034-2A72-E142-980D-6C8B43C50122}">
      <dsp:nvSpPr>
        <dsp:cNvPr id="0" name=""/>
        <dsp:cNvSpPr/>
      </dsp:nvSpPr>
      <dsp:spPr>
        <a:xfrm>
          <a:off x="3695655" y="3060898"/>
          <a:ext cx="1152476" cy="13950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endParaRPr lang="en-US" sz="900" kern="1200"/>
        </a:p>
      </dsp:txBody>
      <dsp:txXfrm>
        <a:off x="3695655" y="3060898"/>
        <a:ext cx="1152476" cy="139501"/>
      </dsp:txXfrm>
    </dsp:sp>
    <dsp:sp modelId="{39C89593-A2B9-4B4E-B8EA-65C88E919D7D}">
      <dsp:nvSpPr>
        <dsp:cNvPr id="0" name=""/>
        <dsp:cNvSpPr/>
      </dsp:nvSpPr>
      <dsp:spPr>
        <a:xfrm>
          <a:off x="1428232" y="864790"/>
          <a:ext cx="1056481" cy="546999"/>
        </a:xfrm>
        <a:prstGeom prst="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175" tIns="3175" rIns="3175" bIns="77188" numCol="1" spcCol="1270" anchor="ctr" anchorCtr="0">
          <a:noAutofit/>
        </a:bodyPr>
        <a:lstStyle/>
        <a:p>
          <a:pPr marL="0" lvl="0" indent="0" algn="ctr" defTabSz="222250">
            <a:lnSpc>
              <a:spcPct val="90000"/>
            </a:lnSpc>
            <a:spcBef>
              <a:spcPct val="0"/>
            </a:spcBef>
            <a:spcAft>
              <a:spcPct val="35000"/>
            </a:spcAft>
            <a:buNone/>
          </a:pPr>
          <a:r>
            <a:rPr lang="en-US" sz="500" kern="1200"/>
            <a:t>Departmental Board</a:t>
          </a:r>
        </a:p>
      </dsp:txBody>
      <dsp:txXfrm>
        <a:off x="1428232" y="864790"/>
        <a:ext cx="1056481" cy="546999"/>
      </dsp:txXfrm>
    </dsp:sp>
    <dsp:sp modelId="{21435BB0-2023-2C49-9AF8-69E733BC1F0C}">
      <dsp:nvSpPr>
        <dsp:cNvPr id="0" name=""/>
        <dsp:cNvSpPr/>
      </dsp:nvSpPr>
      <dsp:spPr>
        <a:xfrm>
          <a:off x="1639528" y="1290233"/>
          <a:ext cx="950833" cy="182333"/>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1639528" y="1290233"/>
        <a:ext cx="950833" cy="182333"/>
      </dsp:txXfrm>
    </dsp:sp>
  </dsp:spTree>
</dsp:drawing>
</file>

<file path=word/diagrams/layout3.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302</TotalTime>
  <Application>LibreOffice/26.2.3.2$Linux_X86_64 LibreOffice_project/620$Build-2</Application>
  <AppVersion>15.0000</AppVersion>
  <Pages>33</Pages>
  <Words>8679</Words>
  <Characters>51146</Characters>
  <CharactersWithSpaces>59014</CharactersWithSpaces>
  <Paragraphs>873</Paragraphs>
  <Company>DUE PROCESS BUREAU, YENAGOA.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2023-11-21T17:47:00Z</dcterms:created>
  <dc:creator>JOSHUA ONGORE</dc:creator>
  <dc:description/>
  <dc:language>en-GB</dc:language>
  <cp:lastModifiedBy/>
  <dcterms:modified xsi:type="dcterms:W3CDTF">2026-06-09T08:09:29Z</dcterms:modified>
  <cp:revision>59</cp:revision>
  <dc:subject/>
  <dc:title/>
</cp:coreProperties>
</file>

<file path=docProps/custom.xml><?xml version="1.0" encoding="utf-8"?>
<Properties xmlns="http://schemas.openxmlformats.org/officeDocument/2006/custom-properties" xmlns:vt="http://schemas.openxmlformats.org/officeDocument/2006/docPropsVTypes"/>
</file>